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The structure has tightened a little since the list Juha sent you, so I will name the chapters rather than number them.</w:t>
      </w:r>
    </w:p>
    <w:p>
      <w:pPr>
        <w:jc w:val="both"/>
      </w:pPr>
      <w:r>
        <w:t>Three places. In the chapter on machine topologies, the section on solid-rotor induction machines, which the book treats as the industrial workhorse and which is far better written from the manufacturing side than from the literature. In the industrial case-study chapter, manufacture and tolerance control, and qualification against API 617, API 541 and IEC 60034-25, both from practice rather than from the standards themselves. And the photographs and machine material you offered,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measured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