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turbomachinery contributors;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 J. Ikäheimo</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 J. Nerg; A. Belahcen</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M. Hinkkanen;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Ikäheimo;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A. Jaatinen-Värri and J. Tiainen (§2.2, specific speed and the aerodynamic optimum); J. Saari of Upheat is the candidate for §2.8, the high-temperature heat pump.</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§9.8),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Chapter owner: one of the authors, who writes §10.1 and §10.10. Contributors: R. Wrobel (§10.2 to §10.4, the heat paths and the stator and rotor cooling architectures), J. Nerg (§10.6, §10.7 and §10.9, thermal networks, transient behaviour and measurement), A. Belahcen (§10.8,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the compressor case, §12.1, source to be confirmed,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Upheat, high-temperature heat pumps</w:t>
            </w:r>
          </w:p>
        </w:tc>
        <w:tc>
          <w:tcPr>
            <w:tcW w:type="dxa" w:w="2160"/>
          </w:tcPr>
          <w:p>
            <w:r>
              <w:rPr>
                <w:sz w:val="19"/>
              </w:rPr>
            </w:r>
            <w:r>
              <w:rPr>
                <w:sz w:val="19"/>
              </w:rPr>
              <w:t>one section, 9.8 or 2.8</w:t>
            </w:r>
          </w:p>
        </w:tc>
        <w:tc>
          <w:tcPr>
            <w:tcW w:type="dxa" w:w="2160"/>
          </w:tcPr>
          <w:p>
            <w:r>
              <w:rPr>
                <w:sz w:val="19"/>
              </w:rPr>
            </w:r>
            <w:r>
              <w:rPr>
                <w:sz w:val="19"/>
              </w:rPr>
              <w:t>interested, choosing</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3.2 and 3.3, 12.3, 12.5; photographs and machine material throughout</w:t>
            </w:r>
          </w:p>
        </w:tc>
        <w:tc>
          <w:tcPr>
            <w:tcW w:type="dxa" w:w="2160"/>
          </w:tcPr>
          <w:p>
            <w:r>
              <w:rPr>
                <w:sz w:val="19"/>
              </w:rPr>
            </w:r>
            <w:r>
              <w:rPr>
                <w:sz w:val="19"/>
              </w:rPr>
              <w:t>agreed in principle</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2.2, 9.8, 10.5</w:t>
            </w:r>
          </w:p>
        </w:tc>
        <w:tc>
          <w:tcPr>
            <w:tcW w:type="dxa" w:w="2160"/>
          </w:tcPr>
          <w:p>
            <w:r>
              <w:rPr>
                <w:sz w:val="19"/>
              </w:rPr>
            </w:r>
            <w:r>
              <w:rPr>
                <w:sz w:val="19"/>
              </w:rPr>
              <w:t>to be invited</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2.2, 9.8, 10.5, 12</w:t>
            </w:r>
          </w:p>
        </w:tc>
        <w:tc>
          <w:tcPr>
            <w:tcW w:type="dxa" w:w="2160"/>
          </w:tcPr>
          <w:p>
            <w:r>
              <w:rPr>
                <w:sz w:val="19"/>
              </w:rPr>
            </w:r>
            <w:r>
              <w:rPr>
                <w:sz w:val="19"/>
              </w:rPr>
              <w:t>to be invited</w:t>
            </w:r>
          </w:p>
        </w:tc>
      </w:tr>
      <w:tr>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10.2, 10.3, 10.4 (cooling architectures)</w:t>
            </w:r>
          </w:p>
        </w:tc>
        <w:tc>
          <w:tcPr>
            <w:tcW w:type="dxa" w:w="2160"/>
          </w:tcPr>
          <w:p>
            <w:r>
              <w:rPr>
                <w:sz w:val="19"/>
              </w:rPr>
            </w:r>
            <w:r>
              <w:rPr>
                <w:sz w:val="19"/>
              </w:rPr>
              <w:t>interested; reviewing the material</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10.6, 10.7, 10.9, 10.10 (thermal networks)</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11.8 to 11.10 (control)</w:t>
            </w:r>
          </w:p>
        </w:tc>
        <w:tc>
          <w:tcPr>
            <w:tcW w:type="dxa" w:w="2160"/>
          </w:tcPr>
          <w:p>
            <w:r>
              <w:rPr>
                <w:sz w:val="19"/>
              </w:rPr>
            </w:r>
            <w:r>
              <w:rPr>
                <w:sz w:val="19"/>
              </w:rPr>
              <w:t>to be invited</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