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*The publication clearance for the compressor measurements is deliberately not raised</w:t>
      </w:r>
    </w:p>
    <w:p>
      <w:pPr>
        <w:jc w:val="both"/>
      </w:pPr>
      <w:r>
        <w:t>here; the third ask ends on "whatever can sensibly be shown", which opens the subject</w:t>
      </w:r>
    </w:p>
    <w:p>
      <w:pPr>
        <w:jc w:val="both"/>
      </w:pPr>
      <w:r>
        <w:t>without making a demand of a first email. It still has to be settled before the proposal</w:t>
      </w:r>
    </w:p>
    <w:p>
      <w:pPr>
        <w:jc w:val="both"/>
      </w:pPr>
      <w:r>
        <w:t>goes out, because the industrial running machine appears from Chapter 2 onwards — put it</w:t>
      </w:r>
    </w:p>
    <w:p>
      <w:pPr>
        <w:jc w:val="both"/>
      </w:pPr>
      <w:r>
        <w:t>in the follow-up call.*</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The first is the one nobody else can write.</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