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1, §1.1.2 — specific speed and the turbomachinery optimum</w:t>
            </w:r>
          </w:p>
        </w:tc>
        <w:tc>
          <w:tcPr>
            <w:tcW w:type="dxa" w:w="2160"/>
          </w:tcPr>
          <w:p>
            <w:r>
              <w:rPr>
                <w:sz w:val="19"/>
              </w:rPr>
            </w:r>
            <w:r>
              <w:rPr>
                <w:sz w:val="19"/>
              </w:rPr>
              <w:t>Ahti Jaatinen-Värri</w:t>
            </w:r>
          </w:p>
        </w:tc>
        <w:tc>
          <w:tcPr>
            <w:tcW w:type="dxa" w:w="2160"/>
          </w:tcPr>
          <w:p>
            <w:r>
              <w:rPr>
                <w:sz w:val="19"/>
              </w:rPr>
            </w:r>
            <w:r>
              <w:rPr>
                <w:sz w:val="19"/>
              </w:rPr>
              <w:t>LUT, Laboratory of Fluid Dynamics</w:t>
            </w:r>
          </w:p>
        </w:tc>
        <w:tc>
          <w:tcPr>
            <w:tcW w:type="dxa" w:w="2160"/>
          </w:tcPr>
          <w:p>
            <w:r>
              <w:rPr>
                <w:sz w:val="19"/>
              </w:rPr>
            </w:r>
            <w:r>
              <w:rPr>
                <w:sz w:val="19"/>
              </w:rPr>
              <w:t>drafted</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Solutions, high-temperature heat pumps</w:t>
            </w:r>
          </w:p>
        </w:tc>
        <w:tc>
          <w:tcPr>
            <w:tcW w:type="dxa" w:w="2160"/>
          </w:tcPr>
          <w:p>
            <w:r>
              <w:rPr>
                <w:sz w:val="19"/>
              </w:rPr>
            </w:r>
            <w:r>
              <w:rPr>
                <w:sz w:val="19"/>
              </w:rPr>
              <w:t>accepted; letter received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 invited 3 Sep; letter awaited</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letter signed; the draft covers Chapters 8 and 9</w:t>
            </w:r>
          </w:p>
        </w:tc>
      </w:tr>
      <w:tr>
        <w:tc>
          <w:tcPr>
            <w:tcW w:type="dxa" w:w="2160"/>
          </w:tcPr>
          <w:p>
            <w:r>
              <w:rPr>
                <w:sz w:val="19"/>
              </w:rPr>
            </w:r>
            <w:r>
              <w:rPr>
                <w:sz w:val="19"/>
              </w:rPr>
              <w:t>9 — Core, rotor and aerodynamic losses</w:t>
            </w:r>
          </w:p>
        </w:tc>
        <w:tc>
          <w:tcPr>
            <w:tcW w:type="dxa" w:w="2160"/>
          </w:tcPr>
          <w:p>
            <w:r>
              <w:rPr>
                <w:sz w:val="19"/>
              </w:rPr>
            </w:r>
            <w:r>
              <w:rPr>
                <w:sz w:val="19"/>
              </w:rPr>
              <w:t>Paavo Rasilo</w:t>
            </w:r>
          </w:p>
        </w:tc>
        <w:tc>
          <w:tcPr>
            <w:tcW w:type="dxa" w:w="2160"/>
          </w:tcPr>
          <w:p>
            <w:r>
              <w:rPr>
                <w:sz w:val="19"/>
              </w:rPr>
            </w:r>
            <w:r>
              <w:rPr>
                <w:sz w:val="19"/>
              </w:rPr>
              <w:t>Tampere University</w:t>
            </w:r>
          </w:p>
        </w:tc>
        <w:tc>
          <w:tcPr>
            <w:tcW w:type="dxa" w:w="2160"/>
          </w:tcPr>
          <w:p>
            <w:r>
              <w:rPr>
                <w:sz w:val="19"/>
              </w:rPr>
            </w:r>
            <w:r>
              <w:rPr>
                <w:sz w:val="19"/>
              </w:rPr>
              <w:t>declined 20 Sep; owner to be settled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independent researcher and engineering consultant</w:t>
            </w:r>
          </w:p>
        </w:tc>
        <w:tc>
          <w:tcPr>
            <w:tcW w:type="dxa" w:w="2160"/>
          </w:tcPr>
          <w:p>
            <w:r>
              <w:rPr>
                <w:sz w:val="19"/>
              </w:rPr>
            </w:r>
            <w:r>
              <w:rPr>
                <w:sz w:val="19"/>
              </w:rPr>
              <w:t>accepted; letter received, to be signed</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accepted; letter received</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invited 4 Sep, for the control side of the drive chapter; no reply</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invited; no answer recorded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invited; no answer recorded</w:t>
            </w:r>
          </w:p>
        </w:tc>
      </w:tr>
      <w:tr>
        <w:tc>
          <w:tcPr>
            <w:tcW w:type="dxa" w:w="2160"/>
          </w:tcPr>
          <w:p>
            <w:r>
              <w:rPr>
                <w:sz w:val="19"/>
              </w:rPr>
            </w:r>
            <w:r>
              <w:rPr>
                <w:sz w:val="19"/>
              </w:rPr>
              <w:t>1, 3, 7</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