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His signed letter came back by</w:t>
      </w:r>
    </w:p>
    <w:p>
      <w:pPr>
        <w:jc w:val="both"/>
      </w:pPr>
      <w:r>
        <w:t>7 October; a copy is still to be filed in `letters/received/`. The draft he was sent commits</w:t>
      </w:r>
    </w:p>
    <w:p>
      <w:pPr>
        <w:jc w:val="both"/>
      </w:pPr>
      <w:r>
        <w:t>him to both loss chapters, Chapter 8 and Chapter 9, so if he signed it unchanged, Chapter 9</w:t>
      </w:r>
    </w:p>
    <w:p>
      <w:pPr>
        <w:jc w:val="both"/>
      </w:pPr>
      <w:r>
        <w:t>is his in writing already.*</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No letter back yet. The sent</w:t>
      </w:r>
    </w:p>
    <w:p>
      <w:pPr>
        <w:jc w:val="both"/>
      </w:pPr>
      <w:r>
        <w:t>version does not ask him to name his co-authors, and does not mention the bearing specialist</w:t>
      </w:r>
    </w:p>
    <w:p>
      <w:pPr>
        <w:jc w:val="both"/>
      </w:pPr>
      <w:r>
        <w:t>for Chapter 6, so ask both when the letter is chased.*</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No</w:t>
      </w:r>
    </w:p>
    <w:p>
      <w:pPr>
        <w:jc w:val="both"/>
      </w:pPr>
      <w:r>
        <w:t>reply recorded as of 7 October.*</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Follow-up — not yet sent</w:t>
      </w:r>
    </w:p>
    <w:p>
      <w:pPr>
        <w:jc w:val="both"/>
      </w:pPr>
      <w:r>
        <w:t>*Five weeks without a reply. A short follow-up can carry the one piece of news: the control</w:t>
      </w:r>
    </w:p>
    <w:p>
      <w:pPr>
        <w:jc w:val="both"/>
      </w:pPr>
      <w:r>
        <w:t>side is now a chapter of its own, Chapter 12, about eighteen pages, and it would be his.</w:t>
      </w:r>
    </w:p>
    <w:p>
      <w:pPr>
        <w:jc w:val="both"/>
      </w:pPr>
      <w:r>
        <w:t>That is a larger offer than the one he has not answered, so it gives him a reason to reply.</w:t>
      </w:r>
    </w:p>
    <w:p>
      <w:pPr>
        <w:jc w:val="both"/>
      </w:pPr>
      <w:r>
        <w:t>An introduction from Juha, or from Anouar at Aalto, would still help. Settle the pulse-ratio</w:t>
      </w:r>
    </w:p>
    <w:p>
      <w:pPr>
        <w:jc w:val="both"/>
      </w:pPr>
      <w:r>
        <w:t>wording with Juha first; he reads it as "nine or eleven".*</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