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jc w:val="both"/>
      </w:pPr>
      <w:r>
        <w:t xml:space="preserve">&gt; </w:t>
      </w:r>
      <w:r>
        <w:rPr>
          <w:b/>
        </w:rPr>
        <w:t>This is the long form, for later.</w:t>
      </w:r>
      <w:r>
        <w:t xml:space="preserve"> First contact is made with the short emails in</w:t>
      </w:r>
    </w:p>
    <w:p>
      <w:pPr>
        <w:jc w:val="both"/>
      </w:pPr>
      <w:r>
        <w:t>&gt; `Invitation_Emails.md`, which describe the invitee's part in a paragraph and attach</w:t>
      </w:r>
    </w:p>
    <w:p>
      <w:pPr>
        <w:jc w:val="both"/>
      </w:pPr>
      <w:r>
        <w:t>&gt; nothing but the draft letter of support. Chapter 1 and the annotated table of contents</w:t>
      </w:r>
    </w:p>
    <w:p>
      <w:pPr>
        <w:jc w:val="both"/>
      </w:pPr>
      <w:r>
        <w:t>&gt; are not being circulated yet. Use the templates below once the publisher has approved</w:t>
      </w:r>
    </w:p>
    <w:p>
      <w:pPr>
        <w:jc w:val="both"/>
      </w:pPr>
      <w:r>
        <w:t>&gt; and the detailed scope is being settled with each contributor.</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are not asking you to write all of this yourself: please build the team as you see fit, from your group and from your wider network, and we will treat whomever you name as a contributor on the same terms as everyone else.</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to 2.3 and 2.8).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In Chapter 10, section 10.5, the convection in the same air gap at high Taylor and axial Reynolds numbers, so that the gap's two roles, as a loss source and as a heat path, are derived from one flow model instead of two disconnected ones; this pairing is a small piece of new material and it is yours to make. In Chapter 12, the industrial case studies, the gearless compressor drive that serves as the industrial running machine through the whole book, carried from specification to measured performance (12.1), and the qualification against API 617, API 541, IEC 60034-25, ISO 21940 and ISO 20816 (12.5).</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Janne Nerg</w:t>
      </w:r>
    </w:p>
    <w:p>
      <w:pPr>
        <w:jc w:val="both"/>
      </w:pPr>
      <w:r>
        <w:t>Chapter 10, Thermal management and cooling architectures, is a chapter we have just added to the plan, and we would like you to lead it. The thermal problem inverts at high speed: the loss density rises while the surface that must reject it shrinks, and the rotor, which in a conventional machine is the easy side, sits behind a retaining sleeve that is a structural necessity and a thermal insulator. Yours would be 10.1 to 10.4, why the thermal problem inverts, the heat paths and thermal resistances with the air gap treated as a heat source rather than a resistance, the stator cooling architectures from water jackets through in-slot to direct winding cooling with the loss density each can sustain, and rotor cooling including the hollow shaft and the sleeve as a thermal barrier;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Juha Saari writes 10.5, air-gap convection, from the same flow model that produces the windage loss of section 9.8, and Anouar Belahcen 10.8, magnet temperature and demagnetisation margin.</w:t>
      </w:r>
    </w:p>
    <w:p>
      <w:pPr>
        <w:jc w:val="both"/>
      </w:pPr>
      <w:r>
        <w:t>Budget: about 21 pages and 13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lead it, writing the converter sections yourself: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 Olli Pyrhönen]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 / Olli Pyrhönen]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The Editors,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Editors,</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