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10 — candidate contributors beyond LUT</w:t>
      </w:r>
    </w:p>
    <w:p>
      <w:pPr>
        <w:jc w:val="both"/>
      </w:pPr>
      <w:r>
        <w:t>Note for discussion among the authors. **Affiliations below are from published work and may</w:t>
      </w:r>
    </w:p>
    <w:p>
      <w:pPr>
        <w:jc w:val="both"/>
      </w:pPr>
      <w:r>
        <w:t>be out of date; verify each before approaching anyone.** People move, retire and change</w:t>
      </w:r>
    </w:p>
    <w:p>
      <w:pPr>
        <w:jc w:val="both"/>
      </w:pPr>
      <w:r>
        <w:t>roles, and nothing here has been checked against a current institutional page.</w:t>
      </w:r>
    </w:p>
    <w:p>
      <w:pPr>
        <w:pStyle w:val="Heading2"/>
      </w:pPr>
      <w:r>
        <w:t>What the chapter actually needs</w:t>
      </w:r>
    </w:p>
    <w:p>
      <w:pPr>
        <w:jc w:val="both"/>
      </w:pPr>
      <w:r>
        <w:t xml:space="preserve">Chapter 10, </w:t>
      </w:r>
      <w:r>
        <w:rPr>
          <w:i/>
        </w:rPr>
        <w:t>Thermal management and cooling architectures</w:t>
      </w:r>
      <w:r>
        <w:t>, 28 pages. The sections that</w:t>
      </w:r>
    </w:p>
    <w:p>
      <w:pPr>
        <w:jc w:val="both"/>
      </w:pPr>
      <w:r>
        <w:t>would go to an outside specialist are the heat paths and thermal resistances (10.2), the</w:t>
      </w:r>
    </w:p>
    <w:p>
      <w:pPr>
        <w:jc w:val="both"/>
      </w:pPr>
      <w:r>
        <w:t>stator cooling architectures from water jackets through in-slot to direct winding cooling</w:t>
      </w:r>
    </w:p>
    <w:p>
      <w:pPr>
        <w:jc w:val="both"/>
      </w:pPr>
      <w:r>
        <w:t>(10.3), rotor cooling and the retaining sleeve as a thermal barrier (10.4), lumped-parameter</w:t>
      </w:r>
    </w:p>
    <w:p>
      <w:pPr>
        <w:jc w:val="both"/>
      </w:pPr>
      <w:r>
        <w:t>thermal networks with their contact resistances and calibration (10.6), and transient</w:t>
      </w:r>
    </w:p>
    <w:p>
      <w:pPr>
        <w:jc w:val="both"/>
      </w:pPr>
      <w:r>
        <w:t>behaviour under overload and drive cycles (10.7). About 13 to 21 pages depending on how</w:t>
      </w:r>
    </w:p>
    <w:p>
      <w:pPr>
        <w:jc w:val="both"/>
      </w:pPr>
      <w:r>
        <w:t>much the authors keep.</w:t>
      </w:r>
    </w:p>
    <w:p>
      <w:pPr>
        <w:jc w:val="both"/>
      </w:pPr>
      <w:r>
        <w:t xml:space="preserve">The specialism is narrow: lumped-parameter thermal modelling of </w:t>
      </w:r>
      <w:r>
        <w:rPr>
          <w:i/>
        </w:rPr>
        <w:t>electrical machines</w:t>
      </w:r>
      <w:r>
        <w:t>,</w:t>
      </w:r>
    </w:p>
    <w:p>
      <w:pPr>
        <w:jc w:val="both"/>
      </w:pPr>
      <w:r>
        <w:t>with the cooling hardware that goes with it. General heat-transfer expertise is not the</w:t>
      </w:r>
    </w:p>
    <w:p>
      <w:pPr>
        <w:jc w:val="both"/>
      </w:pPr>
      <w:r>
        <w:t>same thing and does not substitute.</w:t>
      </w:r>
    </w:p>
    <w:p>
      <w:pPr>
        <w:pStyle w:val="Heading2"/>
      </w:pPr>
      <w:r>
        <w:t>Candidates</w:t>
      </w:r>
    </w:p>
    <w:p>
      <w:pPr>
        <w:pStyle w:val="Heading3"/>
      </w:pPr>
      <w:r>
        <w:t>Andrea Cavagnino, and Aldo Boglietti — Politecnico di Torino</w:t>
      </w:r>
    </w:p>
    <w:p>
      <w:pPr>
        <w:jc w:val="both"/>
      </w:pPr>
      <w:r>
        <w:t>The academic authority on electrical machine thermal analysis. The Boglietti–Cavagnino–</w:t>
      </w:r>
    </w:p>
    <w:p>
      <w:pPr>
        <w:jc w:val="both"/>
      </w:pPr>
      <w:r>
        <w:t>Staton review of thermal analysis methods for electrical machines is the paper the whole</w:t>
      </w:r>
    </w:p>
    <w:p>
      <w:pPr>
        <w:jc w:val="both"/>
      </w:pPr>
      <w:r>
        <w:t>field cites as its starting point, and their group has produced the systematic work on</w:t>
      </w:r>
    </w:p>
    <w:p>
      <w:pPr>
        <w:jc w:val="both"/>
      </w:pPr>
      <w:r>
        <w:t>thermal parameter identification and on the accuracy of lumped-parameter networks. If one</w:t>
      </w:r>
    </w:p>
    <w:p>
      <w:pPr>
        <w:jc w:val="both"/>
      </w:pPr>
      <w:r>
        <w:t>name is wanted for §10.6, this is where to look first. Verify current status before</w:t>
      </w:r>
    </w:p>
    <w:p>
      <w:pPr>
        <w:jc w:val="both"/>
      </w:pPr>
      <w:r>
        <w:t>approaching; Boglietti is long-established and may no longer be taking on commitments.</w:t>
      </w:r>
    </w:p>
    <w:p>
      <w:pPr>
        <w:jc w:val="both"/>
      </w:pPr>
      <w:r>
        <w:t>Fit: 10.2, 10.6, 10.7. Strong. Adds Italy to an otherwise Nordic list.</w:t>
      </w:r>
    </w:p>
    <w:p>
      <w:pPr>
        <w:pStyle w:val="Heading3"/>
      </w:pPr>
      <w:r>
        <w:t>Rafal Wrobel — Newcastle University (previously Bristol)</w:t>
      </w:r>
    </w:p>
    <w:p>
      <w:pPr>
        <w:jc w:val="both"/>
      </w:pPr>
      <w:r>
        <w:t xml:space="preserve">The best fit for the </w:t>
      </w:r>
      <w:r>
        <w:rPr>
          <w:i/>
        </w:rPr>
        <w:t>modern</w:t>
      </w:r>
      <w:r>
        <w:t xml:space="preserve"> cooling content rather than the modelling. His work is on</w:t>
      </w:r>
    </w:p>
    <w:p>
      <w:pPr>
        <w:jc w:val="both"/>
      </w:pPr>
      <w:r>
        <w:t>thermal management at high loss density: direct winding cooling, in-slot cooling, heat</w:t>
      </w:r>
    </w:p>
    <w:p>
      <w:pPr>
        <w:jc w:val="both"/>
      </w:pPr>
      <w:r>
        <w:t>paths through the winding, and the use of additive manufacturing to build them. That is</w:t>
      </w:r>
    </w:p>
    <w:p>
      <w:pPr>
        <w:jc w:val="both"/>
      </w:pPr>
      <w:r>
        <w:t>§10.3 and §10.4 almost exactly, and it is the part of the chapter that dates fastest and</w:t>
      </w:r>
    </w:p>
    <w:p>
      <w:pPr>
        <w:jc w:val="both"/>
      </w:pPr>
      <w:r>
        <w:t>therefore most needs someone currently working on it.</w:t>
      </w:r>
    </w:p>
    <w:p>
      <w:pPr>
        <w:jc w:val="both"/>
      </w:pPr>
      <w:r>
        <w:t>Fit: 10.3, 10.4. Strong, and complementary to the Torino group rather than overlapping.</w:t>
      </w:r>
    </w:p>
    <w:p>
      <w:pPr>
        <w:pStyle w:val="Heading3"/>
      </w:pPr>
      <w:r>
        <w:t>David Gerada — University of Nottingham</w:t>
      </w:r>
    </w:p>
    <w:p>
      <w:pPr>
        <w:jc w:val="both"/>
      </w:pPr>
      <w:r>
        <w:t>Co-author of the review of high-speed electrical machine technologies that is the standard</w:t>
      </w:r>
    </w:p>
    <w:p>
      <w:pPr>
        <w:jc w:val="both"/>
      </w:pPr>
      <w:r>
        <w:t>reference for this whole field, and a researcher whose work spans the high-speed thermal</w:t>
      </w:r>
    </w:p>
    <w:p>
      <w:pPr>
        <w:jc w:val="both"/>
      </w:pPr>
      <w:r>
        <w:t>problem specifically rather than machine thermal analysis in general. On subject-matter fit</w:t>
      </w:r>
    </w:p>
    <w:p>
      <w:pPr>
        <w:jc w:val="both"/>
      </w:pPr>
      <w:r>
        <w:t xml:space="preserve">to </w:t>
      </w:r>
      <w:r>
        <w:rPr>
          <w:i/>
        </w:rPr>
        <w:t>this book</w:t>
      </w:r>
      <w:r>
        <w:t xml:space="preserve"> he is arguably the strongest name on the list.</w:t>
      </w:r>
    </w:p>
    <w:p>
      <w:pPr>
        <w:jc w:val="both"/>
      </w:pPr>
      <w:r>
        <w:t>He is also the person most likely to write a competing title, which cuts both ways. Bringing</w:t>
      </w:r>
    </w:p>
    <w:p>
      <w:pPr>
        <w:jc w:val="both"/>
      </w:pPr>
      <w:r>
        <w:t>him in would remove the most credible competitive threat and put the field's best-known</w:t>
      </w:r>
    </w:p>
    <w:p>
      <w:pPr>
        <w:jc w:val="both"/>
      </w:pPr>
      <w:r>
        <w:t>high-speed reviewer inside your book; approaching him also tells him what you are planning.</w:t>
      </w:r>
    </w:p>
    <w:p>
      <w:pPr>
        <w:jc w:val="both"/>
      </w:pPr>
      <w:r>
        <w:t>That is a judgement for the three of you, not a technical question.</w:t>
      </w:r>
    </w:p>
    <w:p>
      <w:pPr>
        <w:jc w:val="both"/>
      </w:pPr>
      <w:r>
        <w:t>Fit: 10.1 and 10.4, and he would strengthen Chapters 2 and 3 as well.</w:t>
      </w:r>
    </w:p>
    <w:p>
      <w:pPr>
        <w:pStyle w:val="Heading3"/>
      </w:pPr>
      <w:r>
        <w:t>Mircea Popescu, and David Staton — Ansys (formerly Motor Design Ltd)</w:t>
      </w:r>
    </w:p>
    <w:p>
      <w:pPr>
        <w:jc w:val="both"/>
      </w:pPr>
      <w:r>
        <w:t>Staton is the third author of the review named above and the person behind the</w:t>
      </w:r>
    </w:p>
    <w:p>
      <w:pPr>
        <w:jc w:val="both"/>
      </w:pPr>
      <w:r>
        <w:t>lumped-parameter thermal tool that most of the industry actually uses; Popescu has led much</w:t>
      </w:r>
    </w:p>
    <w:p>
      <w:pPr>
        <w:jc w:val="both"/>
      </w:pPr>
      <w:r>
        <w:t>of the published thermal work from the same group. Unmatched practical depth on §10.6.</w:t>
      </w:r>
    </w:p>
    <w:p>
      <w:pPr>
        <w:jc w:val="both"/>
      </w:pPr>
      <w:r>
        <w:t>The caution is commercial. A thermal chapter written by the vendor of the dominant thermal</w:t>
      </w:r>
    </w:p>
    <w:p>
      <w:pPr>
        <w:jc w:val="both"/>
      </w:pPr>
      <w:r>
        <w:t>tool risks reading as documentation for that tool, and Wiley reviewers notice. Workable if</w:t>
      </w:r>
    </w:p>
    <w:p>
      <w:pPr>
        <w:jc w:val="both"/>
      </w:pPr>
      <w:r>
        <w:t>the chapter is written method-first with no product named, but it needs saying up front.</w:t>
      </w:r>
    </w:p>
    <w:p>
      <w:pPr>
        <w:jc w:val="both"/>
      </w:pPr>
      <w:r>
        <w:t>Fit: 10.6, 10.7. Strong technically; manage the neutrality question.</w:t>
      </w:r>
    </w:p>
    <w:p>
      <w:pPr>
        <w:pStyle w:val="Heading3"/>
      </w:pPr>
      <w:r>
        <w:t>Ayman EL-Refaie — Marquette University (formerly GE Global Research)</w:t>
      </w:r>
    </w:p>
    <w:p>
      <w:pPr>
        <w:jc w:val="both"/>
      </w:pPr>
      <w:r>
        <w:t>Works on high specific power machines for aerospace, where thermal management is the binding</w:t>
      </w:r>
    </w:p>
    <w:p>
      <w:pPr>
        <w:jc w:val="both"/>
      </w:pPr>
      <w:r>
        <w:t>constraint rather than a subsystem. Two reasons to consider him beyond the chapter itself:</w:t>
      </w:r>
    </w:p>
    <w:p>
      <w:pPr>
        <w:jc w:val="both"/>
      </w:pPr>
      <w:r>
        <w:t>he could serve the aerospace case study in §13.2, which is currently an open slot, and an</w:t>
      </w:r>
    </w:p>
    <w:p>
      <w:pPr>
        <w:jc w:val="both"/>
      </w:pPr>
      <w:r>
        <w:t>IEEE Fellow with a GE background carries weight with a publisher deciding whether a book has</w:t>
      </w:r>
    </w:p>
    <w:p>
      <w:pPr>
        <w:jc w:val="both"/>
      </w:pPr>
      <w:r>
        <w:t>industrial reach.</w:t>
      </w:r>
    </w:p>
    <w:p>
      <w:pPr>
        <w:jc w:val="both"/>
      </w:pPr>
      <w:r>
        <w:t>Fit: 10.3 and 10.4 from the mass-limited side; 13.2. Fills two gaps with one invitation.</w:t>
      </w:r>
    </w:p>
    <w:p>
      <w:pPr>
        <w:pStyle w:val="Heading3"/>
      </w:pPr>
      <w:r>
        <w:t>Yew Chuan Chong</w:t>
      </w:r>
    </w:p>
    <w:p>
      <w:pPr>
        <w:jc w:val="both"/>
      </w:pPr>
      <w:r>
        <w:t>Has worked specifically on machine cooling and ventilation, including the flow and heat</w:t>
      </w:r>
    </w:p>
    <w:p>
      <w:pPr>
        <w:jc w:val="both"/>
      </w:pPr>
      <w:r>
        <w:t>transfer side that connects to §10.5. A narrower, less prominent name than the others, and</w:t>
      </w:r>
    </w:p>
    <w:p>
      <w:pPr>
        <w:jc w:val="both"/>
      </w:pPr>
      <w:r>
        <w:t>correspondingly more likely to say yes.</w:t>
      </w:r>
    </w:p>
    <w:p>
      <w:pPr>
        <w:jc w:val="both"/>
      </w:pPr>
      <w:r>
        <w:t>Fit: 10.3, 10.5 alongside the turbomachinery contributors.</w:t>
      </w:r>
    </w:p>
    <w:p>
      <w:pPr>
        <w:pStyle w:val="Heading2"/>
      </w:pPr>
      <w:r>
        <w:t>Recommendation</w:t>
      </w:r>
    </w:p>
    <w:p>
      <w:pPr>
        <w:jc w:val="both"/>
      </w:pPr>
      <w:r>
        <w:rPr>
          <w:b/>
        </w:rPr>
        <w:t>Decouple the two asks.</w:t>
      </w:r>
      <w:r>
        <w:t xml:space="preserve"> A letter of support costs a senior person twenty minutes; writing</w:t>
      </w:r>
    </w:p>
    <w:p>
      <w:pPr>
        <w:jc w:val="both"/>
      </w:pPr>
      <w:r>
        <w:t>a chapter costs months. The hit rate is entirely different, and the proposal benefits from</w:t>
      </w:r>
    </w:p>
    <w:p>
      <w:pPr>
        <w:jc w:val="both"/>
      </w:pPr>
      <w:r>
        <w:t>both. Ask a wider circle for letters and a narrower one for chapters.</w:t>
      </w:r>
    </w:p>
    <w:p>
      <w:pPr>
        <w:jc w:val="both"/>
      </w:pPr>
      <w:r>
        <w:t xml:space="preserve">For the chapter itself, the ranking on fit is </w:t>
      </w:r>
      <w:r>
        <w:rPr>
          <w:b/>
        </w:rPr>
        <w:t>Wrobel</w:t>
      </w:r>
      <w:r>
        <w:t xml:space="preserve"> for the cooling architectures,</w:t>
      </w:r>
    </w:p>
    <w:p>
      <w:pPr>
        <w:jc w:val="both"/>
      </w:pPr>
      <w:r>
        <w:rPr>
          <w:b/>
        </w:rPr>
        <w:t>Cavagnino</w:t>
      </w:r>
      <w:r>
        <w:t xml:space="preserve"> for the thermal networks, and </w:t>
      </w:r>
      <w:r>
        <w:rPr>
          <w:b/>
        </w:rPr>
        <w:t>Gerada</w:t>
      </w:r>
      <w:r>
        <w:t xml:space="preserve"> if the strategic question resolves in</w:t>
      </w:r>
    </w:p>
    <w:p>
      <w:pPr>
        <w:jc w:val="both"/>
      </w:pPr>
      <w:r>
        <w:t>favour of approaching him. Any one of the three transforms how the contributor list reads:</w:t>
      </w:r>
    </w:p>
    <w:p>
      <w:pPr>
        <w:jc w:val="both"/>
      </w:pPr>
      <w:r>
        <w:t>at present it is LUT plus one Aalto name plus three Finnish industrial contributors, which a</w:t>
      </w:r>
    </w:p>
    <w:p>
      <w:pPr>
        <w:jc w:val="both"/>
      </w:pPr>
      <w:r>
        <w:t>reviewer may read as a single-department book. One well-known non-Nordic contributor changes</w:t>
      </w:r>
    </w:p>
    <w:p>
      <w:pPr>
        <w:jc w:val="both"/>
      </w:pPr>
      <w:r>
        <w:t>that more than three more Finnish ones would.</w:t>
      </w:r>
    </w:p>
    <w:p>
      <w:pPr>
        <w:jc w:val="both"/>
      </w:pPr>
      <w:r>
        <w:rPr>
          <w:b/>
        </w:rPr>
        <w:t>Go through Juha.</w:t>
      </w:r>
      <w:r>
        <w:t xml:space="preserve"> He knows this community personally, and an approach from him lands</w:t>
      </w:r>
    </w:p>
    <w:p>
      <w:pPr>
        <w:jc w:val="both"/>
      </w:pPr>
      <w:r>
        <w:t>differently from a cold email. The realistic sequence is a word from Juha, then the formal</w:t>
      </w:r>
    </w:p>
    <w:p>
      <w:pPr>
        <w:jc w:val="both"/>
      </w:pPr>
      <w:r>
        <w:t>invitation and the draft letter of support.</w:t>
      </w:r>
    </w:p>
    <w:p>
      <w:pPr>
        <w:jc w:val="both"/>
      </w:pPr>
      <w:r>
        <w:rPr>
          <w:b/>
        </w:rPr>
        <w:t>Keep Nerg in view.</w:t>
      </w:r>
      <w:r>
        <w:t xml:space="preserve"> A known colleague who will deliver twenty-one pages on schedule is</w:t>
      </w:r>
    </w:p>
    <w:p>
      <w:pPr>
        <w:jc w:val="both"/>
      </w:pPr>
      <w:r>
        <w:t>worth more than a distinguished name who agrees and then does not write. The two are not</w:t>
      </w:r>
    </w:p>
    <w:p>
      <w:pPr>
        <w:jc w:val="both"/>
      </w:pPr>
      <w:r>
        <w:t>exclusive: an outside specialist on the cooling architectures, with Nerg on the thermal</w:t>
      </w:r>
    </w:p>
    <w:p>
      <w:pPr>
        <w:jc w:val="both"/>
      </w:pPr>
      <w:r>
        <w:t>networks and one of the authors owning the chapter, is a stronger arrangement than either</w:t>
      </w:r>
    </w:p>
    <w:p>
      <w:pPr>
        <w:jc w:val="both"/>
      </w:pPr>
      <w:r>
        <w:t>alone and asks less of each person.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mbria" w:hAnsi="Cambr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mbria" w:hAnsi="Cambria"/>
      <w:b/>
      <w:bCs/>
      <w:color w:val="1A1A1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mbria" w:hAnsi="Cambria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mbria" w:hAnsi="Cambria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mbria" w:hAnsi="Cambria"/>
      <w:b/>
      <w:bCs/>
      <w:i/>
      <w:iCs/>
      <w:color w:val="33333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10 candidate contributors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