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and 10,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38</w:t>
            </w:r>
          </w:p>
        </w:tc>
        <w:tc>
          <w:tcPr>
            <w:tcW w:type="dxa" w:w="1234"/>
          </w:tcPr>
          <w:p>
            <w:r>
              <w:rPr>
                <w:sz w:val="19"/>
              </w:rPr>
            </w:r>
            <w:r>
              <w:rPr>
                <w:sz w:val="19"/>
              </w:rPr>
              <w:t>14 400</w:t>
            </w:r>
          </w:p>
        </w:tc>
        <w:tc>
          <w:tcPr>
            <w:tcW w:type="dxa" w:w="1234"/>
          </w:tcPr>
          <w:p>
            <w:r>
              <w:rPr>
                <w:sz w:val="19"/>
              </w:rPr>
            </w:r>
            <w:r>
              <w:rPr>
                <w:sz w:val="19"/>
              </w:rPr>
              <w:t>26</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38</w:t>
            </w:r>
          </w:p>
        </w:tc>
        <w:tc>
          <w:tcPr>
            <w:tcW w:type="dxa" w:w="1234"/>
          </w:tcPr>
          <w:p>
            <w:r>
              <w:rPr>
                <w:sz w:val="19"/>
              </w:rPr>
            </w:r>
            <w:r>
              <w:rPr>
                <w:sz w:val="19"/>
              </w:rPr>
              <w:t>14 400</w:t>
            </w:r>
          </w:p>
        </w:tc>
        <w:tc>
          <w:tcPr>
            <w:tcW w:type="dxa" w:w="1234"/>
          </w:tcPr>
          <w:p>
            <w:r>
              <w:rPr>
                <w:sz w:val="19"/>
              </w:rPr>
            </w:r>
            <w:r>
              <w:rPr>
                <w:sz w:val="19"/>
              </w:rPr>
              <w:t>26</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bearings and vibration</w:t>
            </w:r>
          </w:p>
        </w:tc>
        <w:tc>
          <w:tcPr>
            <w:tcW w:type="dxa" w:w="1234"/>
          </w:tcPr>
          <w:p>
            <w:r>
              <w:rPr>
                <w:sz w:val="19"/>
              </w:rPr>
            </w:r>
            <w:r>
              <w:rPr>
                <w:sz w:val="19"/>
              </w:rPr>
              <w:t>38</w:t>
            </w:r>
          </w:p>
        </w:tc>
        <w:tc>
          <w:tcPr>
            <w:tcW w:type="dxa" w:w="1234"/>
          </w:tcPr>
          <w:p>
            <w:r>
              <w:rPr>
                <w:sz w:val="19"/>
              </w:rPr>
            </w:r>
            <w:r>
              <w:rPr>
                <w:sz w:val="19"/>
              </w:rPr>
              <w:t>14 400</w:t>
            </w:r>
          </w:p>
        </w:tc>
        <w:tc>
          <w:tcPr>
            <w:tcW w:type="dxa" w:w="1234"/>
          </w:tcPr>
          <w:p>
            <w:r>
              <w:rPr>
                <w:sz w:val="19"/>
              </w:rPr>
            </w:r>
            <w:r>
              <w:rPr>
                <w:sz w:val="19"/>
              </w:rPr>
              <w:t>26</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Windage, air-gap flow and the thermal budget</w:t>
            </w:r>
          </w:p>
        </w:tc>
        <w:tc>
          <w:tcPr>
            <w:tcW w:type="dxa" w:w="1234"/>
          </w:tcPr>
          <w:p>
            <w:r>
              <w:rPr>
                <w:sz w:val="19"/>
              </w:rPr>
            </w:r>
            <w:r>
              <w:rPr>
                <w:sz w:val="19"/>
              </w:rPr>
              <w:t>32</w:t>
            </w:r>
          </w:p>
        </w:tc>
        <w:tc>
          <w:tcPr>
            <w:tcW w:type="dxa" w:w="1234"/>
          </w:tcPr>
          <w:p>
            <w:r>
              <w:rPr>
                <w:sz w:val="19"/>
              </w:rPr>
            </w:r>
            <w:r>
              <w:rPr>
                <w:sz w:val="19"/>
              </w:rPr>
              <w:t>12 600</w:t>
            </w:r>
          </w:p>
        </w:tc>
        <w:tc>
          <w:tcPr>
            <w:tcW w:type="dxa" w:w="1234"/>
          </w:tcPr>
          <w:p>
            <w:r>
              <w:rPr>
                <w:sz w:val="19"/>
              </w:rPr>
            </w:r>
            <w:r>
              <w:rPr>
                <w:sz w:val="19"/>
              </w:rPr>
              <w:t>20</w:t>
            </w:r>
          </w:p>
        </w:tc>
        <w:tc>
          <w:tcPr>
            <w:tcW w:type="dxa" w:w="1234"/>
          </w:tcPr>
          <w:p>
            <w:r>
              <w:rPr>
                <w:sz w:val="19"/>
              </w:rPr>
            </w:r>
            <w:r>
              <w:rPr>
                <w:sz w:val="19"/>
              </w:rPr>
              <w:t>J. Saari; J. Nerg</w:t>
            </w:r>
          </w:p>
        </w:tc>
      </w:tr>
      <w:tr>
        <w:tc>
          <w:tcPr>
            <w:tcW w:type="dxa" w:w="1234"/>
          </w:tcPr>
          <w:p>
            <w:r>
              <w:rPr>
                <w:sz w:val="19"/>
              </w:rPr>
            </w:r>
            <w:r>
              <w:rPr>
                <w:sz w:val="19"/>
              </w:rPr>
              <w:t>III  Electromagnetic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and rotor losses at kilohertz frequencies</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22</w:t>
            </w:r>
          </w:p>
        </w:tc>
        <w:tc>
          <w:tcPr>
            <w:tcW w:type="dxa" w:w="1234"/>
          </w:tcPr>
          <w:p>
            <w:r>
              <w:rPr>
                <w:sz w:val="19"/>
              </w:rPr>
            </w:r>
            <w:r>
              <w:rPr>
                <w:sz w:val="19"/>
              </w:rPr>
              <w:t>A. Belahcen; I. Petrov</w:t>
            </w:r>
          </w:p>
        </w:tc>
      </w:tr>
      <w:tr>
        <w:tc>
          <w:tcPr>
            <w:tcW w:type="dxa" w:w="1234"/>
          </w:tcPr>
          <w:p>
            <w:r>
              <w:rPr>
                <w:sz w:val="19"/>
              </w:rPr>
            </w:r>
            <w:r>
              <w:rPr>
                <w:sz w:val="19"/>
              </w:rPr>
              <w:t>IV  Delivery: the drive and the applications</w:t>
            </w:r>
          </w:p>
        </w:tc>
        <w:tc>
          <w:tcPr>
            <w:tcW w:type="dxa" w:w="1234"/>
          </w:tcPr>
          <w:p>
            <w:r>
              <w:rPr>
                <w:sz w:val="19"/>
              </w:rPr>
            </w:r>
            <w:r>
              <w:rPr>
                <w:sz w:val="19"/>
              </w:rPr>
              <w:t>10</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42</w:t>
            </w:r>
          </w:p>
        </w:tc>
        <w:tc>
          <w:tcPr>
            <w:tcW w:type="dxa" w:w="1234"/>
          </w:tcPr>
          <w:p>
            <w:r>
              <w:rPr>
                <w:sz w:val="19"/>
              </w:rPr>
            </w:r>
            <w:r>
              <w:rPr>
                <w:sz w:val="19"/>
              </w:rPr>
              <w:t>16 200</w:t>
            </w:r>
          </w:p>
        </w:tc>
        <w:tc>
          <w:tcPr>
            <w:tcW w:type="dxa" w:w="1234"/>
          </w:tcPr>
          <w:p>
            <w:r>
              <w:rPr>
                <w:sz w:val="19"/>
              </w:rPr>
            </w:r>
            <w:r>
              <w:rPr>
                <w:sz w:val="19"/>
              </w:rPr>
              <w:t>28</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11</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1–12</w:t>
            </w:r>
          </w:p>
        </w:tc>
        <w:tc>
          <w:tcPr>
            <w:tcW w:type="dxa" w:w="1234"/>
          </w:tcPr>
          <w:p>
            <w:r>
              <w:rPr>
                <w:sz w:val="19"/>
              </w:rPr>
            </w:r>
            <w:r>
              <w:rPr>
                <w:b/>
                <w:sz w:val="19"/>
              </w:rPr>
              <w:t>404</w:t>
            </w:r>
          </w:p>
        </w:tc>
        <w:tc>
          <w:tcPr>
            <w:tcW w:type="dxa" w:w="1234"/>
          </w:tcPr>
          <w:p>
            <w:r>
              <w:rPr>
                <w:sz w:val="19"/>
              </w:rPr>
            </w:r>
            <w:r>
              <w:rPr>
                <w:b/>
                <w:sz w:val="19"/>
              </w:rPr>
              <w:t>156 000</w:t>
            </w:r>
          </w:p>
        </w:tc>
        <w:tc>
          <w:tcPr>
            <w:tcW w:type="dxa" w:w="1234"/>
          </w:tcPr>
          <w:p>
            <w:r>
              <w:rPr>
                <w:sz w:val="19"/>
              </w:rPr>
            </w:r>
            <w:r>
              <w:rPr>
                <w:b/>
                <w:sz w:val="19"/>
              </w:rPr>
              <w:t>259</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444</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loss budget in Chapter 6, their electromagnetic sizing in Chapter 7, their windings and losses in Chapters 8 and 9, their converters in Chapter 10, and are assembled into complete, measured designs in Chapters 11 and 12. Every design chapter therefore ends with the same two worked examples, and the reader can follow one machine through the whole procedure.</w:t>
      </w:r>
    </w:p>
    <w:p>
      <w:pPr>
        <w:jc w:val="both"/>
      </w:pPr>
      <w:r>
        <w:rPr>
          <w:b/>
        </w:rPr>
        <w:t>A closing comparison in every design chapter.</w:t>
      </w:r>
      <w:r>
        <w:t xml:space="preserve"> Chapters 3 to 10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In industry the converter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Gearless industrial units: compressors, aeration blowers, ORC and turbo-expanders · 2.3 Subsea and hermetic process machines · 2.4 Electric traction and the geared high-speed optimum · 2.5 Aerospace and hybrid-electric propulsion · 2.6 e-Turbochargers, turbo-compounding and the &gt;100 000 r/min class · 2.7 Emerging drivers: heat pumps, hydrogen and cryogenic compression, flywheels · 2.8 Architecture selection: total cost of ownership against specific power · 2.9 A survey of built machines: calibrating v_tip, n√P and fP · 2.10 The two running machines specified.</w:t>
      </w:r>
    </w:p>
    <w:p>
      <w:pPr>
        <w:jc w:val="both"/>
      </w:pPr>
      <w:r>
        <w:t>Budget: 34 pages, 18 figures, 3 tables. New: the machine survey and the calibrated criteria; the architecture-selection logic. Contributors: J. Saari (industrial machines); LUT turbomachinery group to be approached for the process side.</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38 pages, 26 figures, 2 tables. DREM boundary: topologies are compared only on their high-speed behaviour; their general theory is referenced.</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38 pages, 26 figures, 2 tables. Contributors: J. Sopanen's group (stress, fits, fatigue) with I. Petrov (magnet and bridge design). DREM boundary: the earlier book treats rotor mechanics only at conventional speeds.</w:t>
      </w:r>
    </w:p>
    <w:p>
      <w:pPr>
        <w:pStyle w:val="Heading4"/>
      </w:pPr>
      <w:r>
        <w:t>Chapter 5. Rotordynamics, bearings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The bearing options are assessed across three orders of magnitude of cost: hybrid ceramic rolling-element bearings and their Dn limits, fluid-film, air-foil and gas bearings with their whirl instabilities, and active magnetic bearings with their control, sensing and backup requirements. Damping strategies, squeeze-film and active, are the tools for passing through resonance. Electromagnetic force harmonics are linked to structural response, vibration and noise, connecting this chapter to the loss and harmonic content of Chapters 9 and 10.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Rolling-element bearings · 5.6 Fluid-film, air-foil and gas bearings · 5.7 Active magnetic bearings · 5.8 Damping: squeeze-film and active · 5.9 Vibration and noise: electromagnetic forces and structural response · 5.10 Rotordynamic verification of the two running machines.</w:t>
      </w:r>
    </w:p>
    <w:p>
      <w:pPr>
        <w:jc w:val="both"/>
      </w:pPr>
      <w:r>
        <w:t>Budget: 38 pages, 26 figures, 2 tables. Contributors: J. Sopanen's group; 5.9 jointly with A. Belahcen (electromagnetic excitation). DREM boundary: not covered in the earlier book.</w:t>
      </w:r>
    </w:p>
    <w:p>
      <w:pPr>
        <w:pStyle w:val="Heading4"/>
      </w:pPr>
      <w:r>
        <w:t>Chapter 6. Windage, air-gap flow and the thermal budget</w:t>
      </w:r>
    </w:p>
    <w:p>
      <w:pPr>
        <w:jc w:val="both"/>
      </w:pPr>
      <w:r>
        <w:t>Above roughly 100 m/s the air in the gap stops being a passive medium. Flow in the annulus is developed from laminar Couette flow through Taylor vortices to turbulence, with the friction correlations the designer needs and their experimental validation. Surface roughness, grooving and rotor end effects are quantified, and operation in low-density gas or at reduced pressure is treated for the industrial paradigm. The chapter then turns the thermal problem the right way round for high-speed design: the cooling architecture is chosen early, and it sets the loss budget that the electromagnetic design must meet. Cooling architectures are compared, jackets, in-slot and direct winding cooling, rotor and hollow-shaft cooling, and lumped-parameter thermal networks are built with the air gap treated as a heat source rather than a resistance. Magnet temperature and demagnetisation margin are shown to be the binding thermal constraint in most permanent-magnet high-speed machines. The chapter closes by setting the loss budget for each running machine, which Chapters 8 and 9 must then meet.</w:t>
      </w:r>
    </w:p>
    <w:p>
      <w:pPr>
        <w:jc w:val="both"/>
      </w:pPr>
      <w:r>
        <w:t>Sections: 6.1 Taylor–Couette flow and regime transition · 6.2 Windage loss models and experimental validation · 6.3 Surface roughness, grooving, rotor end effects · 6.4 Low-density gas and reduced-pressure operation · 6.5 Cooling architectures · 6.6 Lumped-parameter thermal networks for high-speed machines · 6.7 Magnet temperature and demagnetisation margin · 6.8 Setting the loss budget for the two running machines.</w:t>
      </w:r>
    </w:p>
    <w:p>
      <w:pPr>
        <w:jc w:val="both"/>
      </w:pPr>
      <w:r>
        <w:t>Budget: 32 pages, 20 figures, 2 tables. Contributors: J. Saari (windage), J. Nerg (thermal networks). DREM boundary: the earlier book's thermal chapter is the starting point; only the high-speed departures are treated.</w:t>
      </w:r>
    </w:p>
    <w:p>
      <w:pPr>
        <w:pStyle w:val="Heading3"/>
      </w:pPr>
      <w:r>
        <w:t>Part III — Electromagnetic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10 as the constraint. Air-gap length is set against windage, thermal margin and harmonic content rather than torque density alone. Magnetic and electric loading limits are re-derived for the kilohertz range, and slot and tooth geometry for high-frequency operation. A section on optimisation-based multiphysics sizing shows how the procedure is embedded in a modern coupled workflow. The procedure is summarised as a flowchart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Optimisation-based multiphysics sizing · 7.8 Procedure summary and flowchart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of Chapter 6.</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and rotor losses at kilohertz frequencies</w:t>
      </w:r>
    </w:p>
    <w:p>
      <w:pPr>
        <w:jc w:val="both"/>
      </w:pPr>
      <w:r>
        <w:t>Loss models fitted below 400 Hz do not extrapolate to 2 kHz. The chapter shows where loss separation breaks above 1 kHz and how measurement and model fitting are done for high-frequency operation. The soft magnetic materials available are compared as design choices, thin-gauge silicon iron, cobalt iron, amorphous and soft magnetic composites, and the manufacturing effects that degrade them, cutting, stacking, coating and residual stress, are quantified rather than mentioned. The rotor side is treated with equal weight: rotor surface and harmonic losses, eddy currents in sleeves, retention rings and magnets, and the effectiveness and cost of magnet segmentation. Solid-rotor loss modelling is given its own section because the solid rotor is the industrial paradigm's workhorse. The chapter closes with the loss balance of the two running machines against the thermal budget set in Chapter 6.</w:t>
      </w:r>
    </w:p>
    <w:p>
      <w:pPr>
        <w:jc w:val="both"/>
      </w:pPr>
      <w:r>
        <w:t>Sections: 9.1 Loss separation above 1 kHz · 9.2 Soft magnetic materials · 9.3 Manufacturing effects · 9.4 Measurement and model fitting · 9.5 Rotor surface and harmonic losses · 9.6 Eddy currents in sleeves, retention rings and magnets · 9.7 Magnet segmentation · 9.8 Solid-rotor loss modelling · 9.9 Loss balance of the two running machines.</w:t>
      </w:r>
    </w:p>
    <w:p>
      <w:pPr>
        <w:jc w:val="both"/>
      </w:pPr>
      <w:r>
        <w:t>Budget: 34 pages, 22 figures, 2 tables. Contributors: A. Belahcen (loss modelling, materials, manufacturing effects) with I. Petrov (rotor losses). DREM boundary: the earlier book's loss chapter covers the conventional frequency range.</w:t>
      </w:r>
    </w:p>
    <w:p>
      <w:pPr>
        <w:pStyle w:val="Heading3"/>
      </w:pPr>
      <w:r>
        <w:t>Part IV — Delivery: the drive and the applications</w:t>
      </w:r>
    </w:p>
    <w:p>
      <w:pPr>
        <w:pStyle w:val="Heading4"/>
      </w:pPr>
      <w:r>
        <w:t>Chapter 10.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thermally isolates.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10.1 Modulation ratio and synchronous PWM · 10.2 Current harmonics and rotor heating · 10.3 Silicon, SiC and GaN: switching-loss economics · 10.4 DC-link voltage, du/dt and filters · 10.5 Insulation under fast switching · 10.6 Bearing currents · 10.7 Converter integration and EMC · 10.8 Control at low pulse ratios · 10.9 Position sensing and sensorless operation · 10.10 Run-up through critical speeds, field weakening, protection · 10.11 Co-design of the two running machines with their converters.</w:t>
      </w:r>
    </w:p>
    <w:p>
      <w:pPr>
        <w:jc w:val="both"/>
      </w:pPr>
      <w:r>
        <w:t>Budget: 42 pages, 28 figures, 2 tables. Contributors: P. Peltoniemi (converter and control), L. Aarniovuori (harmonic losses), with M. Hinkkanen or O. Pyrhönen on control at low pulse ratios. DREM boundary: not covered in the earlier book.</w:t>
      </w:r>
    </w:p>
    <w:p>
      <w:pPr>
        <w:pStyle w:val="Heading4"/>
      </w:pPr>
      <w:r>
        <w:t>Chapter 11.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11.1 The gearless compressor drive: from specification to measured performance · 11.2 The ORC turbogenerator · 11.3 Manufacture and tolerance control · 11.4 Test rig, instrumentation and loss segregation at high speed · 11.5 Qualification against standards · 11.6 Failure modes and design lessons.</w:t>
      </w:r>
    </w:p>
    <w:p>
      <w:pPr>
        <w:jc w:val="both"/>
      </w:pPr>
      <w:r>
        <w:t>Budget: 28 pages, 22 figures, 3 tables. Contributors: authors, J. Saari (compressor case), L. Aarniovuori (loss measurement). New: measured case data.</w:t>
      </w:r>
    </w:p>
    <w:p>
      <w:pPr>
        <w:pStyle w:val="Heading4"/>
      </w:pPr>
      <w:r>
        <w:t>Chapter 12.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11. A closing section revisits the two paradigms with the completed designs in hand and states, with numbers, why the same physics produces opposite machines.</w:t>
      </w:r>
    </w:p>
    <w:p>
      <w:pPr>
        <w:jc w:val="both"/>
      </w:pPr>
      <w:r>
        <w:t>Sections: 12.1 The Voltcar traction machine: from specification to measured performance · 12.2 A high-specific-power aerospace generator · 12.3 An e-turbocharger above 100 000 r/min · 12.4 Testing under drive-cycle and thermal transients · 12.5 Overspeed, thermal and endurance qualification · 12.6 Failure modes and design lessons · 12.7 The two paradigms revisited.</w:t>
      </w:r>
    </w:p>
    <w:p>
      <w:pPr>
        <w:jc w:val="both"/>
      </w:pPr>
      <w:r>
        <w:t>Budget: 30 pages, 24 figures, 3 tables. Contributors: authors (Voltcar), an aerospace contributor to be invited for 12.2.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 and 5.9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2, 6, 11</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10</w:t>
            </w:r>
          </w:p>
        </w:tc>
        <w:tc>
          <w:tcPr>
            <w:tcW w:type="dxa" w:w="2160"/>
          </w:tcPr>
          <w:p>
            <w:r>
              <w:rPr>
                <w:sz w:val="19"/>
              </w:rPr>
            </w:r>
            <w:r>
              <w:rPr>
                <w:sz w:val="19"/>
              </w:rPr>
              <w:t>to be invited</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10, 11</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6</w:t>
            </w:r>
          </w:p>
        </w:tc>
        <w:tc>
          <w:tcPr>
            <w:tcW w:type="dxa" w:w="2160"/>
          </w:tcPr>
          <w:p>
            <w:r>
              <w:rPr>
                <w:sz w:val="19"/>
              </w:rPr>
            </w:r>
            <w:r>
              <w:rPr>
                <w:sz w:val="19"/>
              </w:rPr>
              <w:t>suggested</w:t>
            </w:r>
          </w:p>
        </w:tc>
      </w:tr>
      <w:tr>
        <w:tc>
          <w:tcPr>
            <w:tcW w:type="dxa" w:w="2160"/>
          </w:tcPr>
          <w:p>
            <w:r>
              <w:rPr>
                <w:sz w:val="19"/>
              </w:rPr>
            </w:r>
            <w:r>
              <w:rPr>
                <w:sz w:val="19"/>
              </w:rPr>
              <w:t>Marko Hinkkanen or Olli Pyrhönen</w:t>
            </w:r>
          </w:p>
        </w:tc>
        <w:tc>
          <w:tcPr>
            <w:tcW w:type="dxa" w:w="2160"/>
          </w:tcPr>
          <w:p>
            <w:r>
              <w:rPr>
                <w:sz w:val="19"/>
              </w:rPr>
            </w:r>
            <w:r>
              <w:rPr>
                <w:sz w:val="19"/>
              </w:rPr>
              <w:t>Aalto / LUT, control</w:t>
            </w:r>
          </w:p>
        </w:tc>
        <w:tc>
          <w:tcPr>
            <w:tcW w:type="dxa" w:w="2160"/>
          </w:tcPr>
          <w:p>
            <w:r>
              <w:rPr>
                <w:sz w:val="19"/>
              </w:rPr>
            </w:r>
            <w:r>
              <w:rPr>
                <w:sz w:val="19"/>
              </w:rPr>
              <w:t>10</w:t>
            </w:r>
          </w:p>
        </w:tc>
        <w:tc>
          <w:tcPr>
            <w:tcW w:type="dxa" w:w="2160"/>
          </w:tcPr>
          <w:p>
            <w:r>
              <w:rPr>
                <w:sz w:val="19"/>
              </w:rPr>
            </w:r>
            <w:r>
              <w:rPr>
                <w:sz w:val="19"/>
              </w:rPr>
              <w:t>suggested, one of the two</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12.2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at month 15;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the competing-titles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