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56"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5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del w:id="10401" w:author="Claude" w:date="2026-09-02T12:00:00Z"/>
          <w:rFonts w:ascii="Times New Roman" w:hAnsi="Times New Roman" w:cs="Times New Roman"/>
          <w:lang w:val="en-GB"/>
        </w:rPr>
      </w:pPr>
      <w:del w:id="10402" w:author="Claude" w:date="2026-09-02T12:00:00Z">
        <w:r>
          <w:rPr>
            <w:rFonts w:ascii="Times New Roman" w:hAnsi="Times New Roman" w:cs="Times New Roman"/>
            <w:lang w:val="en-GB"/>
          </w:rPr>
          <w:delText>This book is structured as a comprehensive journey through the multidisciplinary landscape of high-speed engineering. Following this introduction, the text is organized into six specialized parts, each addressing a critical pillar of the "High-Speed Trilemma."</w:delText>
        </w:r>
      </w:del>
    </w:p>
    <w:p w14:paraId="5C71FA62" w14:textId="77777777" w:rsidR="001826CA" w:rsidRPr="001D4F32" w:rsidRDefault="001826CA" w:rsidP="001826CA">
      <w:pPr>
        <w:rPr>
          <w:del w:id="10403" w:author="Claude" w:date="2026-09-02T12:00:00Z"/>
          <w:rFonts w:ascii="Times New Roman" w:hAnsi="Times New Roman" w:cs="Times New Roman"/>
          <w:b/>
          <w:bCs/>
          <w:lang w:val="en-GB"/>
        </w:rPr>
      </w:pPr>
      <w:del w:id="10404" w:author="Claude" w:date="2026-09-02T12:00:00Z">
        <w:r>
          <w:rPr>
            <w:rFonts w:ascii="Times New Roman" w:hAnsi="Times New Roman" w:cs="Times New Roman"/>
            <w:b/>
            <w:bCs/>
            <w:lang w:val="en-GB"/>
          </w:rPr>
          <w:delText>Part I: Fundamentals and Machine Topologies</w:delText>
        </w:r>
      </w:del>
    </w:p>
    <w:p w14:paraId="1B9F6FE6" w14:textId="1B320DF0" w:rsidR="001826CA" w:rsidRPr="001D4F32" w:rsidRDefault="001826CA" w:rsidP="001826CA">
      <w:pPr>
        <w:rPr>
          <w:del w:id="10405" w:author="Claude" w:date="2026-09-02T12:00:00Z"/>
          <w:rFonts w:ascii="Times New Roman" w:hAnsi="Times New Roman" w:cs="Times New Roman"/>
          <w:lang w:val="en-GB"/>
        </w:rPr>
      </w:pPr>
      <w:del w:id="10406" w:author="Claude" w:date="2026-09-02T12:00:00Z">
        <w:r>
          <w:rPr>
            <w:rFonts w:ascii="Times New Roman" w:hAnsi="Times New Roman" w:cs="Times New Roman"/>
            <w:lang w:val="en-GB"/>
          </w:rP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14:paraId="4E948C6B" w14:textId="77777777" w:rsidR="001826CA" w:rsidRPr="001D4F32" w:rsidRDefault="001826CA" w:rsidP="001826CA">
      <w:pPr>
        <w:rPr>
          <w:del w:id="10407" w:author="Claude" w:date="2026-09-02T12:00:00Z"/>
          <w:rFonts w:ascii="Times New Roman" w:hAnsi="Times New Roman" w:cs="Times New Roman"/>
          <w:b/>
          <w:bCs/>
          <w:lang w:val="en-GB"/>
        </w:rPr>
      </w:pPr>
      <w:del w:id="10408" w:author="Claude" w:date="2026-09-02T12:00:00Z">
        <w:r>
          <w:rPr>
            <w:rFonts w:ascii="Times New Roman" w:hAnsi="Times New Roman" w:cs="Times New Roman"/>
            <w:b/>
            <w:bCs/>
            <w:lang w:val="en-GB"/>
          </w:rPr>
          <w:delText>Part II: Electromagnetic Design and Analysis</w:delText>
        </w:r>
      </w:del>
    </w:p>
    <w:p w14:paraId="33DBB1C0" w14:textId="77777777" w:rsidR="001826CA" w:rsidRPr="001D4F32" w:rsidRDefault="001826CA" w:rsidP="001826CA">
      <w:pPr>
        <w:rPr>
          <w:del w:id="10409" w:author="Claude" w:date="2026-09-02T12:00:00Z"/>
          <w:rFonts w:ascii="Times New Roman" w:hAnsi="Times New Roman" w:cs="Times New Roman"/>
          <w:lang w:val="en-GB"/>
        </w:rPr>
      </w:pPr>
      <w:del w:id="10410" w:author="Claude" w:date="2026-09-02T12:00:00Z">
        <w:r>
          <w:rPr>
            <w:rFonts w:ascii="Times New Roman" w:hAnsi="Times New Roman" w:cs="Times New Roman"/>
            <w:lang w:val="en-GB"/>
          </w:rPr>
          <w:delTex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14:paraId="0E3ED42A" w14:textId="77777777" w:rsidR="001826CA" w:rsidRPr="001D4F32" w:rsidRDefault="001826CA" w:rsidP="001826CA">
      <w:pPr>
        <w:rPr>
          <w:del w:id="10411" w:author="Claude" w:date="2026-09-02T12:00:00Z"/>
          <w:rFonts w:ascii="Times New Roman" w:hAnsi="Times New Roman" w:cs="Times New Roman"/>
          <w:b/>
          <w:bCs/>
          <w:lang w:val="en-GB"/>
        </w:rPr>
      </w:pPr>
      <w:del w:id="10412" w:author="Claude" w:date="2026-09-02T12:00:00Z">
        <w:r>
          <w:rPr>
            <w:rFonts w:ascii="Times New Roman" w:hAnsi="Times New Roman" w:cs="Times New Roman"/>
            <w:b/>
            <w:bCs/>
            <w:lang w:val="en-GB"/>
          </w:rPr>
          <w:delText xml:space="preserve">Part III: Mechanical Design and Rotordynamics</w:delText>
        </w:r>
      </w:del>
    </w:p>
    <w:p w14:paraId="1B5E18B1" w14:textId="6974FB7B" w:rsidR="001826CA" w:rsidRPr="001D4F32" w:rsidRDefault="001826CA" w:rsidP="001826CA">
      <w:pPr>
        <w:rPr>
          <w:del w:id="10413" w:author="Claude" w:date="2026-09-02T12:00:00Z"/>
          <w:rFonts w:ascii="Times New Roman" w:hAnsi="Times New Roman" w:cs="Times New Roman"/>
          <w:lang w:val="en-GB"/>
        </w:rPr>
      </w:pPr>
      <w:del w:id="10414" w:author="Claude" w:date="2026-09-02T12:00:00Z">
        <w:r>
          <w:rPr>
            <w:rFonts w:ascii="Times New Roman" w:hAnsi="Times New Roman" w:cs="Times New Roman"/>
            <w:lang w:val="en-GB"/>
          </w:rPr>
          <w:delText xml:space="preserve">This part addresses the </w:delText>
        </w:r>
      </w:del>
      <w:del w:id="10415" w:author="Claude" w:date="2026-09-02T12:00:00Z">
        <w:r>
          <w:rPr>
            <w:rFonts w:ascii="Times New Roman" w:hAnsi="Times New Roman" w:cs="Times New Roman"/>
            <w:i/>
            <w:iCs/>
            <w:lang w:val="en-GB"/>
          </w:rPr>
          <w:delText>r</w:delText>
          <w:sym w:font="Symbol" w:char="F057"/>
        </w:r>
      </w:del>
      <w:del w:id="10416" w:author="Claude" w:date="2026-09-02T12:00:00Z">
        <w:r>
          <w:rPr>
            <w:rFonts w:ascii="Times New Roman" w:hAnsi="Times New Roman" w:cs="Times New Roman"/>
            <w:vertAlign w:val="superscript"/>
            <w:lang w:val="en-GB"/>
          </w:rPr>
          <w:delText xml:space="preserve"> 2</w:delText>
        </w:r>
      </w:del>
      <w:del w:id="10417" w:author="Claude" w:date="2026-09-02T12:00:00Z">
        <w:r>
          <w:rPr>
            <w:rFonts w:ascii="Times New Roman" w:hAnsi="Times New Roman" w:cs="Times New Roman"/>
            <w:lang w:val="en-GB"/>
          </w:rPr>
          <w:delTex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14:paraId="03E5F215" w14:textId="77777777" w:rsidR="001826CA" w:rsidRPr="001D4F32" w:rsidRDefault="001826CA" w:rsidP="001826CA">
      <w:pPr>
        <w:rPr>
          <w:del w:id="10418" w:author="Claude" w:date="2026-09-02T12:00:00Z"/>
          <w:rFonts w:ascii="Times New Roman" w:hAnsi="Times New Roman" w:cs="Times New Roman"/>
          <w:b/>
          <w:bCs/>
          <w:lang w:val="en-GB"/>
        </w:rPr>
      </w:pPr>
      <w:del w:id="10419" w:author="Claude" w:date="2026-09-02T12:00:00Z">
        <w:r>
          <w:rPr>
            <w:rFonts w:ascii="Times New Roman" w:hAnsi="Times New Roman" w:cs="Times New Roman"/>
            <w:b/>
            <w:bCs/>
            <w:lang w:val="en-GB"/>
          </w:rPr>
          <w:delText>Part IV: Material Science for High-Speed Machines</w:delText>
        </w:r>
      </w:del>
    </w:p>
    <w:p w14:paraId="2784B073" w14:textId="26216C39" w:rsidR="001826CA" w:rsidRPr="001D4F32" w:rsidRDefault="001826CA" w:rsidP="001826CA">
      <w:pPr>
        <w:rPr>
          <w:del w:id="10420" w:author="Claude" w:date="2026-09-02T12:00:00Z"/>
          <w:rFonts w:ascii="Times New Roman" w:hAnsi="Times New Roman" w:cs="Times New Roman"/>
          <w:lang w:val="en-GB"/>
        </w:rPr>
      </w:pPr>
      <w:del w:id="10421" w:author="Claude" w:date="2026-09-02T12:00:00Z">
        <w:r>
          <w:rPr>
            <w:rFonts w:ascii="Times New Roman" w:hAnsi="Times New Roman" w:cs="Times New Roman"/>
            <w:lang w:val="en-GB"/>
          </w:rP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delText>
        </w:r>
      </w:del>
      <w:del w:id="10422" w:author="Claude" w:date="2026-09-02T12:00:00Z">
        <w:r>
          <w:rPr>
            <w:rFonts w:ascii="Times New Roman" w:hAnsi="Times New Roman" w:cs="Times New Roman"/>
            <w:i/>
            <w:iCs/>
            <w:lang w:val="en-GB"/>
          </w:rPr>
          <w:delText>u</w:delText>
        </w:r>
      </w:del>
      <w:del w:id="10423" w:author="Claude" w:date="2026-09-02T12:00:00Z">
        <w:r>
          <w:rPr>
            <w:rFonts w:ascii="Times New Roman" w:hAnsi="Times New Roman" w:cs="Times New Roman"/>
            <w:lang w:val="en-GB"/>
          </w:rPr>
          <w:delText>/d</w:delText>
        </w:r>
      </w:del>
      <w:del w:id="10424" w:author="Claude" w:date="2026-09-02T12:00:00Z">
        <w:r>
          <w:rPr>
            <w:rFonts w:ascii="Times New Roman" w:hAnsi="Times New Roman" w:cs="Times New Roman"/>
            <w:i/>
            <w:iCs/>
            <w:lang w:val="en-GB"/>
          </w:rPr>
          <w:delText>t</w:delText>
        </w:r>
      </w:del>
      <w:del w:id="10425" w:author="Claude" w:date="2026-09-02T12:00:00Z">
        <w:r>
          <w:rPr>
            <w:rFonts w:ascii="Times New Roman" w:hAnsi="Times New Roman" w:cs="Times New Roman"/>
            <w:lang w:val="en-GB"/>
          </w:rPr>
          <w:delText xml:space="preserve"> stresses of modern inverters.</w:delText>
        </w:r>
      </w:del>
    </w:p>
    <w:p w14:paraId="2871F4AF" w14:textId="77777777" w:rsidR="001826CA" w:rsidRPr="001D4F32" w:rsidRDefault="001826CA" w:rsidP="001826CA">
      <w:pPr>
        <w:rPr>
          <w:del w:id="10426" w:author="Claude" w:date="2026-09-02T12:00:00Z"/>
          <w:rFonts w:ascii="Times New Roman" w:hAnsi="Times New Roman" w:cs="Times New Roman"/>
          <w:b/>
          <w:bCs/>
          <w:lang w:val="en-GB"/>
        </w:rPr>
      </w:pPr>
      <w:del w:id="10427" w:author="Claude" w:date="2026-09-02T12:00:00Z">
        <w:r>
          <w:rPr>
            <w:rFonts w:ascii="Times New Roman" w:hAnsi="Times New Roman" w:cs="Times New Roman"/>
            <w:b/>
            <w:bCs/>
            <w:lang w:val="en-GB"/>
          </w:rPr>
          <w:lastRenderedPageBreak/>
          <w:delText>Part V: Thermal Management</w:delText>
        </w:r>
      </w:del>
    </w:p>
    <w:p w14:paraId="36C4AD4C" w14:textId="77777777" w:rsidR="001826CA" w:rsidRPr="001D4F32" w:rsidRDefault="001826CA" w:rsidP="001826CA">
      <w:pPr>
        <w:rPr>
          <w:del w:id="10428" w:author="Claude" w:date="2026-09-02T12:00:00Z"/>
          <w:rFonts w:ascii="Times New Roman" w:hAnsi="Times New Roman" w:cs="Times New Roman"/>
          <w:lang w:val="en-GB"/>
        </w:rPr>
      </w:pPr>
      <w:del w:id="10429" w:author="Claude" w:date="2026-09-02T12:00:00Z">
        <w:r>
          <w:rPr>
            <w:rFonts w:ascii="Times New Roman" w:hAnsi="Times New Roman" w:cs="Times New Roman"/>
            <w:lang w:val="en-GB"/>
          </w:rPr>
          <w:delTex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14:paraId="323920A4" w14:textId="77777777" w:rsidR="001826CA" w:rsidRPr="001D4F32" w:rsidRDefault="001826CA" w:rsidP="001826CA">
      <w:pPr>
        <w:rPr>
          <w:del w:id="10430" w:author="Claude" w:date="2026-09-02T12:00:00Z"/>
          <w:rFonts w:ascii="Times New Roman" w:hAnsi="Times New Roman" w:cs="Times New Roman"/>
          <w:b/>
          <w:bCs/>
          <w:lang w:val="en-GB"/>
        </w:rPr>
      </w:pPr>
      <w:del w:id="10431" w:author="Claude" w:date="2026-09-02T12:00:00Z">
        <w:r>
          <w:rPr>
            <w:rFonts w:ascii="Times New Roman" w:hAnsi="Times New Roman" w:cs="Times New Roman"/>
            <w:b/>
            <w:bCs/>
            <w:lang w:val="en-GB"/>
          </w:rPr>
          <w:delText>Part VI: System Integration, Control, and Reliability</w:delText>
        </w:r>
      </w:del>
    </w:p>
    <w:p w14:paraId="54A5F9DC" w14:textId="5EF1BB50" w:rsidR="001826CA" w:rsidRPr="001D4F32" w:rsidRDefault="001826CA" w:rsidP="001826CA">
      <w:pPr>
        <w:rPr>
          <w:del w:id="10432" w:author="Claude" w:date="2026-09-02T12:00:00Z"/>
          <w:rFonts w:ascii="Times New Roman" w:hAnsi="Times New Roman" w:cs="Times New Roman"/>
          <w:lang w:val="en-GB"/>
        </w:rPr>
      </w:pPr>
      <w:del w:id="10433" w:author="Claude" w:date="2026-09-02T12:00:00Z">
        <w:r>
          <w:rPr>
            <w:rFonts w:ascii="Times New Roman" w:hAnsi="Times New Roman" w:cs="Times New Roman"/>
            <w:lang w:val="en-GB"/>
          </w:rP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ins w:id="10434" w:author="Claude" w:date="2026-09-02T12:00:00Z"/>
          <w:rFonts w:ascii="Times New Roman" w:hAnsi="Times New Roman" w:cs="Times New Roman"/>
          <w:lang w:val="en-GB"/>
        </w:rPr>
      </w:pPr>
      <w:ins w:id="10435" w:author="Claude" w:date="2026-09-02T12:00:00Z">
        <w:r>
          <w:rPr>
            <w:rFonts w:ascii="Times New Roman" w:hAnsi="Times New Roman" w:cs="Times New Roman"/>
            <w:lang w:val="en-GB"/>
          </w:rPr>
          <w:t xml:space="preserve">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ins>
    </w:p>
    <w:p>
      <w:pPr>
        <w:rPr>
          <w:ins w:id="10436" w:author="Claude" w:date="2026-09-02T12:00:00Z"/>
          <w:rFonts w:ascii="Times New Roman" w:hAnsi="Times New Roman" w:cs="Times New Roman"/>
          <w:b/>
          <w:bCs/>
          <w:lang w:val="en-GB"/>
        </w:rPr>
      </w:pPr>
      <w:ins w:id="10437" w:author="Claude" w:date="2026-09-02T12:00:00Z">
        <w:r>
          <w:rPr>
            <w:rFonts w:ascii="Times New Roman" w:hAnsi="Times New Roman" w:cs="Times New Roman"/>
            <w:b/>
            <w:bCs/>
            <w:lang w:val="en-GB"/>
          </w:rPr>
          <w:t xml:space="preserve">Part I: The High-Speed Design Space</w:t>
        </w:r>
      </w:ins>
    </w:p>
    <w:p>
      <w:pPr>
        <w:rPr>
          <w:ins w:id="10438" w:author="Claude" w:date="2026-09-02T12:00:00Z"/>
          <w:rFonts w:ascii="Times New Roman" w:hAnsi="Times New Roman" w:cs="Times New Roman"/>
          <w:lang w:val="en-GB"/>
        </w:rPr>
      </w:pPr>
      <w:ins w:id="10439" w:author="Claude" w:date="2026-09-02T12:00:00Z">
        <w:r>
          <w:rPr>
            <w:rFonts w:ascii="Times New Roman" w:hAnsi="Times New Roman" w:cs="Times New Roman"/>
            <w:lang w:val="en-GB"/>
          </w:rPr>
          <w:t xml:space="preserve">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w:t>
        </w:r>
      </w:ins>
    </w:p>
    <w:p>
      <w:pPr>
        <w:rPr>
          <w:ins w:id="10440" w:author="Claude" w:date="2026-09-02T12:00:00Z"/>
          <w:rFonts w:ascii="Times New Roman" w:hAnsi="Times New Roman" w:cs="Times New Roman"/>
          <w:b/>
          <w:bCs/>
          <w:lang w:val="en-GB"/>
        </w:rPr>
      </w:pPr>
      <w:ins w:id="10441" w:author="Claude" w:date="2026-09-02T12:00:00Z">
        <w:r>
          <w:rPr>
            <w:rFonts w:ascii="Times New Roman" w:hAnsi="Times New Roman" w:cs="Times New Roman"/>
            <w:b/>
            <w:bCs/>
            <w:lang w:val="en-GB"/>
          </w:rPr>
          <w:t xml:space="preserve">Part II: The Constraints that Bind First</w:t>
        </w:r>
      </w:ins>
    </w:p>
    <w:p>
      <w:pPr>
        <w:rPr>
          <w:ins w:id="10442" w:author="Claude" w:date="2026-09-02T12:00:00Z"/>
          <w:rFonts w:ascii="Times New Roman" w:hAnsi="Times New Roman" w:cs="Times New Roman"/>
          <w:lang w:val="en-GB"/>
        </w:rPr>
      </w:pPr>
      <w:ins w:id="10443" w:author="Claude" w:date="2026-09-02T12:00:00Z">
        <w:r>
          <w:rPr>
            <w:rFonts w:ascii="Times New Roman" w:hAnsi="Times New Roman" w:cs="Times New Roman"/>
            <w:lang w:val="en-GB"/>
          </w:rPr>
          <w:t xml:space="preserve">Chapter 4 addresses the </w:t>
        </w:r>
      </w:ins>
      <w:ins w:id="10444" w:author="Claude" w:date="2026-09-02T12:00:00Z">
        <w:r>
          <w:rPr>
            <w:rFonts w:ascii="Times New Roman" w:hAnsi="Times New Roman" w:cs="Times New Roman"/>
            <w:i/>
            <w:iCs/>
            <w:lang w:val="en-GB"/>
          </w:rPr>
          <w:t xml:space="preserve">r</w:t>
        </w:r>
      </w:ins>
      <w:ins w:id="10445" w:author="Claude" w:date="2026-09-02T12:00:00Z">
        <w:r>
          <w:rPr>
            <w:rFonts w:ascii="Times New Roman" w:hAnsi="Times New Roman" w:cs="Times New Roman"/>
            <w:lang w:val="en-GB"/>
          </w:rPr>
          <w:t xml:space="preserve">Ω</w:t>
        </w:r>
      </w:ins>
      <w:ins w:id="10446" w:author="Claude" w:date="2026-09-02T12:00:00Z">
        <w:r>
          <w:rPr>
            <w:rFonts w:ascii="Times New Roman" w:hAnsi="Times New Roman" w:cs="Times New Roman"/>
            <w:vertAlign w:val="superscript"/>
            <w:lang w:val="en-GB"/>
          </w:rPr>
          <w:t xml:space="preserve">2</w:t>
        </w:r>
      </w:ins>
      <w:ins w:id="10447" w:author="Claude" w:date="2026-09-02T12:00:00Z">
        <w:r>
          <w:rPr>
            <w:rFonts w:ascii="Times New Roman" w:hAnsi="Times New Roman" w:cs="Times New Roman"/>
            <w:lang w:val="en-GB"/>
          </w:rPr>
          <w:t xml:space="preserve"> wall directly: rotor stress analysis, magnet retention by carbon-fibre and metallic sleeves against interior-magnet bridge designs, and fatigue life and overspeed margin. Chapter 5 covers rotordynamics and bearing selection, from high-precision rolling elements through air foil systems to active magnetic bearings, together with the vibration and acoustic behaviour that follows from both. Chapter 6 treats air-gap flow and windage, including Taylor–Couette effects, and establishes the thermal budget that the electromagnetic design must then respect.</w:t>
        </w:r>
      </w:ins>
    </w:p>
    <w:p>
      <w:pPr>
        <w:rPr>
          <w:ins w:id="10448" w:author="Claude" w:date="2026-09-02T12:00:00Z"/>
          <w:rFonts w:ascii="Times New Roman" w:hAnsi="Times New Roman" w:cs="Times New Roman"/>
          <w:b/>
          <w:bCs/>
          <w:lang w:val="en-GB"/>
        </w:rPr>
      </w:pPr>
      <w:ins w:id="10449" w:author="Claude" w:date="2026-09-02T12:00:00Z">
        <w:r>
          <w:rPr>
            <w:rFonts w:ascii="Times New Roman" w:hAnsi="Times New Roman" w:cs="Times New Roman"/>
            <w:b/>
            <w:bCs/>
            <w:lang w:val="en-GB"/>
          </w:rPr>
          <w:t xml:space="preserve">Part III: Electromagnetic Design within the Constraints</w:t>
        </w:r>
      </w:ins>
    </w:p>
    <w:p>
      <w:pPr>
        <w:rPr>
          <w:ins w:id="10450" w:author="Claude" w:date="2026-09-02T12:00:00Z"/>
          <w:rFonts w:ascii="Times New Roman" w:hAnsi="Times New Roman" w:cs="Times New Roman"/>
          <w:lang w:val="en-GB"/>
        </w:rPr>
      </w:pPr>
      <w:ins w:id="10451" w:author="Claude" w:date="2026-09-02T12:00:00Z">
        <w:r>
          <w:rPr>
            <w:rFonts w:ascii="Times New Roman" w:hAnsi="Times New Roman" w:cs="Times New Roman"/>
            <w:lang w:val="en-GB"/>
          </w:rPr>
          <w:t xml:space="preserve">Chapter 7 develops the sizing procedure, working from the mechanical and rotordynamic limits inward to the electromagnetic design, with worked examples for both the industrial and the mobile paradigm and a section on optimisation-based multiphysics sizing. Chapter 8 addresses AC copper losses, comparing Litz wire and form-wound conductors to mitigate skin and proximity effects. Chapter 9 treats core and rotor losses in the kilohertz range, including the soft magnetic materials available, the manufacturing effects that degrade them, eddy currents in sleeves and magnets, and magnet segmentation.</w:t>
        </w:r>
      </w:ins>
    </w:p>
    <w:p>
      <w:pPr>
        <w:rPr>
          <w:ins w:id="10452" w:author="Claude" w:date="2026-09-02T12:00:00Z"/>
          <w:rFonts w:ascii="Times New Roman" w:hAnsi="Times New Roman" w:cs="Times New Roman"/>
          <w:b/>
          <w:bCs/>
          <w:lang w:val="en-GB"/>
        </w:rPr>
      </w:pPr>
      <w:ins w:id="10453" w:author="Claude" w:date="2026-09-02T12:00:00Z">
        <w:r>
          <w:rPr>
            <w:rFonts w:ascii="Times New Roman" w:hAnsi="Times New Roman" w:cs="Times New Roman"/>
            <w:b/>
            <w:bCs/>
            <w:lang w:val="en-GB"/>
          </w:rPr>
          <w:t xml:space="preserve">Part IV: Delivery, the Drive and the Applications</w:t>
        </w:r>
      </w:ins>
    </w:p>
    <w:p>
      <w:pPr>
        <w:rPr>
          <w:ins w:id="10454" w:author="Claude" w:date="2026-09-02T12:00:00Z"/>
          <w:rFonts w:ascii="Times New Roman" w:hAnsi="Times New Roman" w:cs="Times New Roman"/>
          <w:lang w:val="en-GB"/>
        </w:rPr>
      </w:pPr>
      <w:ins w:id="10455" w:author="Claude" w:date="2026-09-02T12:00:00Z">
        <w:r>
          <w:rPr>
            <w:rFonts w:ascii="Times New Roman" w:hAnsi="Times New Roman" w:cs="Times New Roman"/>
            <w:lang w:val="en-GB"/>
          </w:rPr>
          <w:t xml:space="preserve">Chapter 10 treats the drive as the gatekeeper it is: the converter interface, the role of SiC and GaN devices, insulation stress under fast switching, bearing currents, and control at high fundamental frequency including sensorless operation at low pulse ratios. Chapters 11 and 12 present complete design case studies, industrial and mobile respectively, each carried from specification to measured validation, with the test methods, the loss segregation at high speed, and the overspeed and endurance qualification that the applicable standards require.</w:t>
        </w:r>
      </w:ins>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