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4" w:space="6" w:color="999999"/>
        </w:pBdr>
        <w:spacing w:after="280"/>
      </w:pPr>
      <w:r>
        <w:rPr>
          <w:b/>
          <w:i w:val="0"/>
          <w:color w:val="444444"/>
          <w:sz w:val="18"/>
        </w:rPr>
        <w:t xml:space="preserve">Confidential — unpublished draft.  </w:t>
      </w:r>
      <w:r>
        <w:rPr>
          <w:b w:val="0"/>
          <w:i/>
          <w:color w:val="444444"/>
          <w:sz w:val="18"/>
        </w:rPr>
        <w:t xml:space="preserve">This draft chapter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w:t>
      </w:r>
      <w:r>
        <w:rPr>
          <w:b w:val="0"/>
          <w:i/>
          <w:color w:val="444444"/>
          <w:sz w:val="18"/>
        </w:rPr>
        <w:t>© 2026 H. T. Canseven, I. Petrov and J. Pyrhönen. All rights reserved.</w:t>
      </w:r>
    </w:p>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The speed of a high-speed machine is not merely a mechanical rpm value;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commentRangeStart w:id="0"/>
      <w:r w:rsidRPr="000E711F">
        <w:rPr>
          <w:rFonts w:ascii="Times New Roman" w:hAnsi="Times New Roman" w:cs="Times New Roman"/>
          <w:lang w:val="en-GB"/>
        </w:rPr>
        <w:t>Defining "High Speed"</w:t>
      </w:r>
      <w:commentRangeEnd w:id="0"/>
      <w:r w:rsidR="00A17807" w:rsidRPr="000E711F">
        <w:rPr>
          <w:rStyle w:val="CommentReference"/>
          <w:rFonts w:ascii="Times New Roman" w:hAnsi="Times New Roman" w:cs="Times New Roman"/>
          <w:sz w:val="28"/>
          <w:szCs w:val="28"/>
          <w:lang w:val="en-GB"/>
        </w:rPr>
        <w:commentReference w:id="0"/>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pStyle w:val="Heading3"/>
        <w:jc w:val="both"/>
        <w:rPr>
          <w:rFonts w:ascii="Times New Roman" w:hAnsi="Times New Roman" w:cs="Times New Roman"/>
          <w:lang w:val="en-GB"/>
        </w:rPr>
      </w:pPr>
      <w:r w:rsidRPr="000E711F">
        <w:rPr>
          <w:rFonts w:ascii="Times New Roman" w:hAnsi="Times New Roman" w:cs="Times New Roman"/>
          <w:lang w:val="en-GB"/>
        </w:rPr>
        <w:t>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pStyle w:val="Heading3"/>
        <w:jc w:val="both"/>
        <w:rPr>
          <w:rFonts w:ascii="Times New Roman" w:hAnsi="Times New Roman" w:cs="Times New Roman"/>
          <w:sz w:val="22"/>
          <w:szCs w:val="22"/>
          <w:lang w:val="en-GB"/>
        </w:rPr>
      </w:pPr>
      <w:r w:rsidRPr="000E711F">
        <w:rPr>
          <w:rFonts w:ascii="Times New Roman" w:hAnsi="Times New Roman" w:cs="Times New Roman"/>
          <w:lang w:val="en-GB"/>
        </w:rPr>
        <w:t xml:space="preserve">Different definitions of </w:t>
      </w:r>
      <w:r w:rsidR="002F2E18" w:rsidRPr="000E711F">
        <w:rPr>
          <w:rFonts w:ascii="Times New Roman" w:hAnsi="Times New Roman" w:cs="Times New Roman"/>
          <w:lang w:val="en-GB"/>
        </w:rPr>
        <w:t>high</w:t>
      </w:r>
      <w:r w:rsidRPr="000E711F">
        <w:rPr>
          <w:rFonts w:ascii="Times New Roman" w:hAnsi="Times New Roman" w:cs="Times New Roman"/>
          <w:lang w:val="en-GB"/>
        </w:rPr>
        <w:t xml:space="preserve"> speed</w:t>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commentRangeStart w:id="2"/>
      <w:r w:rsidRPr="000E711F">
        <w:rPr>
          <w:rFonts w:ascii="Times New Roman" w:hAnsi="Times New Roman" w:cs="Times New Roman"/>
          <w:color w:val="000000"/>
          <w:lang w:val="en-GB"/>
        </w:rPr>
        <w:t>(El Hajji et al., 2024)</w:t>
      </w:r>
      <w:commentRangeEnd w:id="2"/>
      <w:r w:rsidR="00F740F9" w:rsidRPr="000E711F">
        <w:rPr>
          <w:rStyle w:val="CommentReference"/>
          <w:rFonts w:ascii="Times New Roman" w:hAnsi="Times New Roman" w:cs="Times New Roman"/>
          <w:sz w:val="22"/>
          <w:szCs w:val="22"/>
          <w:lang w:val="en-GB"/>
        </w:rPr>
        <w:commentReference w:id="2"/>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commentRangeStart w:id="3"/>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commentRangeEnd w:id="3"/>
      <w:r w:rsidR="005D26B4" w:rsidRPr="000E711F">
        <w:rPr>
          <w:rStyle w:val="CommentReference"/>
          <w:rFonts w:ascii="Times New Roman" w:hAnsi="Times New Roman" w:cs="Times New Roman"/>
          <w:sz w:val="22"/>
          <w:szCs w:val="22"/>
          <w:lang w:val="en-GB"/>
        </w:rPr>
        <w:commentReference w:id="3"/>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commentRangeStart w:id="4"/>
      <w:r w:rsidR="009C50E6">
        <w:rPr>
          <w:rFonts w:ascii="Times New Roman" w:hAnsi="Times New Roman" w:cs="Times New Roman"/>
          <w:lang w:val="en-GB"/>
        </w:rPr>
        <w:t>Armengaud</w:t>
      </w:r>
      <w:r w:rsidR="0024361B">
        <w:rPr>
          <w:rFonts w:ascii="Times New Roman" w:hAnsi="Times New Roman" w:cs="Times New Roman"/>
          <w:lang w:val="en-GB"/>
        </w:rPr>
        <w:t xml:space="preserve"> et al, 2025</w:t>
      </w:r>
      <w:commentRangeEnd w:id="4"/>
      <w:r w:rsidR="0024361B">
        <w:rPr>
          <w:rStyle w:val="CommentReference"/>
          <w:rFonts w:ascii="Times New Roman" w:hAnsi="Times New Roman" w:cs="Times New Roman"/>
          <w:sz w:val="22"/>
          <w:szCs w:val="22"/>
          <w:lang w:val="en-GB"/>
        </w:rPr>
        <w:commentReference w:id="4"/>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t>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commentRangeStart w:id="5"/>
      <w:r w:rsidRPr="000E711F">
        <w:rPr>
          <w:rFonts w:ascii="Times New Roman" w:hAnsi="Times New Roman" w:cs="Times New Roman"/>
          <w:noProof/>
          <w:lang w:val="en-GB"/>
        </w:rPr>
        <w:lastRenderedPageBreak/>
        <w:drawing>
          <wp:inline distT="0" distB="0" distL="0" distR="0" wp14:anchorId="7AD894E6" wp14:editId="0B319140">
            <wp:extent cx="5731510" cy="6120216"/>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In (b) the upper half of the unit is drawn in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120216"/>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0B6A16" w:rsidRPr="000E711F">
        <w:rPr>
          <w:rStyle w:val="CommentReference"/>
          <w:rFonts w:ascii="Times New Roman" w:hAnsi="Times New Roman" w:cs="Times New Roman"/>
          <w:sz w:val="22"/>
          <w:szCs w:val="22"/>
          <w:lang w:val="en-GB"/>
        </w:rPr>
        <w:commentReference w:id="5"/>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(AMBs), and the gearbox, couplings and oil system disappear.</w:t>
      </w:r>
      <w:r w:rsidRPr="000E711F">
        <w:rPr>
          <w:rFonts w:ascii="Times New Roman" w:hAnsi="Times New Roman" w:cs="Times New Roman"/>
          <w:lang w:val="en-GB"/>
        </w:rPr>
        <w:t xml:space="preserve"> In (b) the upper half of the unit is drawn in section.</w:t>
      </w:r>
    </w:p>
    <w:p w14:paraId="73D02B18" w14:textId="630C7E20" w:rsidR="009F1B51" w:rsidRPr="000E711F" w:rsidRDefault="009F1B51" w:rsidP="00945133">
      <w:pPr>
        <w:jc w:val="both"/>
        <w:rPr>
          <w:rFonts w:ascii="Times New Roman" w:hAnsi="Times New Roman" w:cs="Times New Roman"/>
          <w:b/>
          <w:bCs/>
          <w:lang w:val="en-GB"/>
        </w:rPr>
      </w:pPr>
      <w:commentRangeStart w:id="6"/>
      <w:r w:rsidRPr="000E711F">
        <w:rPr>
          <w:rFonts w:ascii="Times New Roman" w:hAnsi="Times New Roman" w:cs="Times New Roman"/>
          <w:b/>
          <w:bCs/>
          <w:lang w:val="en-GB"/>
        </w:rPr>
        <w:t>The Integrated High-Speed Unit: A Leap in Performance</w:t>
      </w:r>
      <w:commentRangeEnd w:id="6"/>
      <w:r w:rsidR="004C37D9" w:rsidRPr="000E711F">
        <w:rPr>
          <w:rStyle w:val="CommentReference"/>
          <w:rFonts w:ascii="Times New Roman" w:hAnsi="Times New Roman" w:cs="Times New Roman"/>
          <w:b/>
          <w:bCs/>
          <w:sz w:val="22"/>
          <w:szCs w:val="22"/>
          <w:lang w:val="en-GB"/>
        </w:rPr>
        <w:commentReference w:id="6"/>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Drivers of Direct-Drive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jc w:val="both"/>
        <w:rPr>
          <w:rFonts w:ascii="Times New Roman" w:hAnsi="Times New Roman" w:cs="Times New Roman"/>
          <w:b/>
          <w:bCs/>
          <w:lang w:val="en-GB"/>
        </w:rPr>
      </w:pPr>
      <w:r w:rsidRPr="000E711F">
        <w:rPr>
          <w:rFonts w:ascii="Times New Roman" w:hAnsi="Times New Roman" w:cs="Times New Roman"/>
          <w:b/>
          <w:bCs/>
          <w:lang w:val="en-GB"/>
        </w:rPr>
        <w:t>Two</w:t>
      </w:r>
      <w:r w:rsidR="00E53655" w:rsidRPr="000E711F">
        <w:rPr>
          <w:rFonts w:ascii="Times New Roman" w:hAnsi="Times New Roman" w:cs="Times New Roman"/>
          <w:b/>
          <w:bCs/>
          <w:lang w:val="en-GB"/>
        </w:rPr>
        <w:t>-Pole Induction Machines (IM)</w:t>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w:t>
      </w:r>
      <w:r w:rsidR="00083943" w:rsidRPr="000E711F">
        <w:rPr>
          <w:rFonts w:ascii="Times New Roman" w:hAnsi="Times New Roman" w:cs="Times New Roman"/>
          <w:b/>
          <w:bCs/>
          <w:lang w:val="en-GB"/>
        </w:rPr>
        <w:t>Rotor-</w:t>
      </w:r>
      <w:r w:rsidRPr="000E711F">
        <w:rPr>
          <w:rFonts w:ascii="Times New Roman" w:hAnsi="Times New Roman" w:cs="Times New Roman"/>
          <w:b/>
          <w:bCs/>
          <w:lang w:val="en-GB"/>
        </w:rPr>
        <w:t>Surface</w:t>
      </w:r>
      <w:r w:rsidR="00083943" w:rsidRPr="000E711F">
        <w:rPr>
          <w:rFonts w:ascii="Times New Roman" w:hAnsi="Times New Roman" w:cs="Times New Roman"/>
          <w:b/>
          <w:bCs/>
          <w:lang w:val="en-GB"/>
        </w:rPr>
        <w:t>-Magnet</w:t>
      </w:r>
      <w:r w:rsidRPr="000E711F">
        <w:rPr>
          <w:rFonts w:ascii="Times New Roman" w:hAnsi="Times New Roman" w:cs="Times New Roman"/>
          <w:b/>
          <w:bCs/>
          <w:lang w:val="en-GB"/>
        </w:rPr>
        <w:t xml:space="preserve"> </w:t>
      </w:r>
      <w:r w:rsidR="00083943" w:rsidRPr="000E711F">
        <w:rPr>
          <w:rFonts w:ascii="Times New Roman" w:hAnsi="Times New Roman" w:cs="Times New Roman"/>
          <w:b/>
          <w:bCs/>
          <w:lang w:val="en-GB"/>
        </w:rPr>
        <w:t>PMSMs</w:t>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commentRangeStart w:id="7"/>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commentRangeEnd w:id="7"/>
      <w:r w:rsidR="00DE497E">
        <w:rPr>
          <w:rStyle w:val="CommentReference"/>
          <w:rFonts w:ascii="Times New Roman" w:hAnsi="Times New Roman" w:cs="Times New Roman"/>
          <w:sz w:val="22"/>
          <w:szCs w:val="22"/>
          <w:lang w:val="en-GB"/>
        </w:rPr>
        <w:commentReference w:id="7"/>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commentRangeStart w:id="8"/>
      <w:r w:rsidRPr="000E711F">
        <w:rPr>
          <w:rFonts w:ascii="Times New Roman" w:hAnsi="Times New Roman" w:cs="Times New Roman"/>
          <w:lang w:val="en-GB"/>
        </w:rPr>
        <w:t>.</w:t>
      </w:r>
      <w:commentRangeEnd w:id="8"/>
      <w:r w:rsidR="00E56949" w:rsidRPr="000E711F">
        <w:rPr>
          <w:rStyle w:val="CommentReference"/>
          <w:rFonts w:ascii="Times New Roman" w:hAnsi="Times New Roman" w:cs="Times New Roman"/>
          <w:sz w:val="22"/>
          <w:szCs w:val="22"/>
          <w:lang w:val="en-GB"/>
        </w:rPr>
        <w:commentReference w:id="8"/>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commentRangeStart w:id="9"/>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commentRangeEnd w:id="9"/>
      <w:r w:rsidR="0028599E" w:rsidRPr="000E711F">
        <w:rPr>
          <w:rStyle w:val="CommentReference"/>
          <w:rFonts w:ascii="Times New Roman" w:hAnsi="Times New Roman" w:cs="Times New Roman"/>
          <w:sz w:val="22"/>
          <w:szCs w:val="22"/>
          <w:lang w:val="en-GB"/>
        </w:rPr>
        <w:commentReference w:id="9"/>
      </w:r>
    </w:p>
    <w:p w14:paraId="2D8951D5"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commentRangeStart w:id="10"/>
      <w:r w:rsidR="00F816CB">
        <w:rPr>
          <w:rFonts w:ascii="Times New Roman" w:hAnsi="Times New Roman" w:cs="Times New Roman"/>
          <w:lang w:val="en-GB"/>
        </w:rPr>
        <w:t>(Canseven et. al.</w:t>
      </w:r>
      <w:r w:rsidRPr="000E711F">
        <w:rPr>
          <w:rFonts w:ascii="Times New Roman" w:hAnsi="Times New Roman" w:cs="Times New Roman"/>
          <w:lang w:val="en-GB"/>
        </w:rPr>
        <w:t>,</w:t>
      </w:r>
      <w:r w:rsidR="00F816CB">
        <w:rPr>
          <w:rFonts w:ascii="Times New Roman" w:hAnsi="Times New Roman" w:cs="Times New Roman"/>
          <w:lang w:val="en-GB"/>
        </w:rPr>
        <w:t xml:space="preserve"> 2024)</w:t>
      </w:r>
      <w:commentRangeEnd w:id="10"/>
      <w:r w:rsidR="00F816CB" w:rsidRPr="000E711F">
        <w:rPr>
          <w:rStyle w:val="CommentReference"/>
          <w:rFonts w:ascii="Times New Roman" w:hAnsi="Times New Roman" w:cs="Times New Roman"/>
          <w:sz w:val="22"/>
          <w:szCs w:val="22"/>
          <w:lang w:val="en-GB"/>
        </w:rPr>
        <w:commentReference w:id="10"/>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commentRangeStart w:id="11"/>
      <w:r w:rsidR="00D560EB" w:rsidRPr="000E711F">
        <w:rPr>
          <w:rFonts w:ascii="Times New Roman" w:hAnsi="Times New Roman" w:cs="Times New Roman"/>
          <w:lang w:val="en-GB"/>
        </w:rPr>
        <w:t>The factor of two is exact for a thin disc</w:t>
      </w:r>
      <w:commentRangeEnd w:id="11"/>
      <w:r w:rsidR="00D835BD" w:rsidRPr="000E711F">
        <w:rPr>
          <w:rStyle w:val="CommentReference"/>
          <w:rFonts w:ascii="Times New Roman" w:hAnsi="Times New Roman" w:cs="Times New Roman"/>
          <w:sz w:val="22"/>
          <w:szCs w:val="22"/>
          <w:lang w:val="en-GB"/>
        </w:rPr>
        <w:commentReference w:id="11"/>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3294094"/>
            <wp:effectExtent l="0" t="0" r="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The rotor is drawn to scale above the mode shapes, on the same axial scale; the vertical lines mark its radial AM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4094"/>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r w:rsidR="00930771" w:rsidRPr="000E711F">
        <w:rPr>
          <w:rFonts w:ascii="Times New Roman" w:hAnsi="Times New Roman" w:cs="Times New Roman"/>
          <w:lang w:val="en-GB"/>
        </w:rPr>
        <w:t xml:space="preserve"> The rotor is drawn to scale above the mode shapes, on the same axial scale; the vertical lines mark its radial AMBs.</w:t>
      </w:r>
    </w:p>
    <w:p w14:paraId="47F30595" w14:textId="44A140B1" w:rsidR="000E45D5" w:rsidRPr="000E711F" w:rsidRDefault="000E45D5" w:rsidP="00945133">
      <w:pPr>
        <w:jc w:val="both"/>
        <w:rPr>
          <w:rFonts w:ascii="Times New Roman" w:hAnsi="Times New Roman" w:cs="Times New Roman"/>
          <w:b/>
          <w:bCs/>
          <w:lang w:val="en-GB"/>
        </w:rPr>
      </w:pPr>
      <w:commentRangeStart w:id="12"/>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commentRangeEnd w:id="12"/>
      <w:r w:rsidR="0088122D" w:rsidRPr="000E711F">
        <w:rPr>
          <w:rStyle w:val="CommentReference"/>
          <w:rFonts w:ascii="Times New Roman" w:hAnsi="Times New Roman" w:cs="Times New Roman"/>
          <w:b/>
          <w:bCs/>
          <w:sz w:val="22"/>
          <w:szCs w:val="22"/>
          <w:lang w:val="en-GB"/>
        </w:rPr>
        <w:commentReference w:id="12"/>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jc w:val="both"/>
        <w:rPr>
          <w:rFonts w:ascii="Times New Roman" w:hAnsi="Times New Roman" w:cs="Times New Roman"/>
          <w:b/>
          <w:bCs/>
          <w:lang w:val="en-GB"/>
        </w:rPr>
      </w:pPr>
      <w:r w:rsidRPr="000E711F">
        <w:rPr>
          <w:rFonts w:ascii="Times New Roman" w:hAnsi="Times New Roman" w:cs="Times New Roman"/>
          <w:b/>
          <w:bCs/>
          <w:lang w:val="en-GB"/>
        </w:rPr>
        <w:t>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commentRangeStart w:id="13"/>
      <w:r w:rsidR="006F4B7D">
        <w:rPr>
          <w:rFonts w:ascii="Times New Roman" w:hAnsi="Times New Roman" w:cs="Times New Roman"/>
          <w:lang w:val="en-GB"/>
        </w:rPr>
        <w:t>(</w:t>
      </w:r>
      <w:r w:rsidR="00D32D40">
        <w:rPr>
          <w:rFonts w:ascii="Times New Roman" w:hAnsi="Times New Roman" w:cs="Times New Roman"/>
          <w:lang w:val="en-GB"/>
        </w:rPr>
        <w:t>Lipo, T.A., 2017)</w:t>
      </w:r>
      <w:commentRangeEnd w:id="13"/>
      <w:r w:rsidR="00D32D40" w:rsidRPr="000E711F">
        <w:rPr>
          <w:rStyle w:val="CommentReference"/>
          <w:rFonts w:ascii="Times New Roman" w:hAnsi="Times New Roman" w:cs="Times New Roman"/>
          <w:sz w:val="22"/>
          <w:szCs w:val="22"/>
          <w:lang w:val="en-GB"/>
        </w:rPr>
        <w:commentReference w:id="13"/>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jc w:val="both"/>
        <w:rPr>
          <w:rFonts w:ascii="Times New Roman" w:hAnsi="Times New Roman" w:cs="Times New Roman"/>
          <w:b/>
          <w:bCs/>
          <w:lang w:val="en-GB"/>
        </w:rPr>
      </w:pPr>
      <w:r w:rsidRPr="000E711F">
        <w:rPr>
          <w:rFonts w:ascii="Times New Roman" w:hAnsi="Times New Roman" w:cs="Times New Roman"/>
          <w:b/>
          <w:bCs/>
          <w:lang w:val="en-GB"/>
        </w:rPr>
        <w:t>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commentRangeStart w:id="14"/>
      <w:r w:rsidR="0037271A">
        <w:rPr>
          <w:rFonts w:ascii="Times New Roman" w:hAnsi="Times New Roman" w:cs="Times New Roman"/>
          <w:lang w:val="en-GB"/>
        </w:rPr>
        <w:t>(Pyrhönen et. al., 2013)</w:t>
      </w:r>
      <w:commentRangeEnd w:id="14"/>
      <w:r w:rsidR="0037271A" w:rsidRPr="000E711F">
        <w:rPr>
          <w:rStyle w:val="CommentReference"/>
          <w:rFonts w:ascii="Times New Roman" w:hAnsi="Times New Roman" w:cs="Times New Roman"/>
          <w:sz w:val="22"/>
          <w:szCs w:val="22"/>
          <w:lang w:val="en-GB"/>
        </w:rPr>
        <w:commentReference w:id="14"/>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fficiency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E1724" w:rsidRPr="000E711F">
        <w:rPr>
          <w:rFonts w:ascii="Times New Roman" w:hAnsi="Times New Roman" w:cs="Times New Roman"/>
          <w:lang w:val="en-GB"/>
        </w:rPr>
        <w:t>s</w:t>
      </w:r>
      <w:r w:rsidRPr="000E711F">
        <w:rPr>
          <w:rFonts w:ascii="Times New Roman" w:hAnsi="Times New Roman" w:cs="Times New Roman"/>
          <w:lang w:val="en-GB"/>
        </w:rPr>
        <w:t>quare-</w:t>
      </w:r>
      <w:r w:rsidR="001E1724" w:rsidRPr="000E711F">
        <w:rPr>
          <w:rFonts w:ascii="Times New Roman" w:hAnsi="Times New Roman" w:cs="Times New Roman"/>
          <w:lang w:val="en-GB"/>
        </w:rPr>
        <w:t>c</w:t>
      </w:r>
      <w:r w:rsidRPr="000E711F">
        <w:rPr>
          <w:rFonts w:ascii="Times New Roman" w:hAnsi="Times New Roman" w:cs="Times New Roman"/>
          <w:lang w:val="en-GB"/>
        </w:rPr>
        <w:t xml:space="preserve">ube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3941937"/>
            <wp:effectExtent l="0" t="0" r="0" b="0"/>
            <wp:docPr id="710352468" name="Picture 4" descr="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3941937"/>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commentRangeStart w:id="15"/>
      <w:r w:rsidRPr="000E711F">
        <w:rPr>
          <w:rFonts w:ascii="Times New Roman" w:hAnsi="Times New Roman" w:cs="Times New Roman"/>
          <w:lang w:val="en-GB"/>
        </w:rPr>
        <w:t>The high-speed trilemma</w:t>
      </w:r>
      <w:commentRangeEnd w:id="15"/>
      <w:r w:rsidR="00FF58ED" w:rsidRPr="000E711F">
        <w:rPr>
          <w:rStyle w:val="CommentReference"/>
          <w:rFonts w:ascii="Times New Roman" w:hAnsi="Times New Roman" w:cs="Times New Roman"/>
          <w:sz w:val="28"/>
          <w:szCs w:val="28"/>
          <w:lang w:val="en-GB"/>
        </w:rPr>
        <w:commentReference w:id="15"/>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üseyin Canseven (LUT)" w:date="2026-04-27T15:33:00Z" w:initials="HC">
    <w:p w14:paraId="0DC37DE8" w14:textId="77777777" w:rsidR="00A17807" w:rsidRDefault="00A17807" w:rsidP="00A17807">
      <w:pPr>
        <w:pStyle w:val="CommentText"/>
      </w:pPr>
      <w:r>
        <w:rPr>
          <w:rStyle w:val="CommentReference"/>
        </w:rPr>
        <w:annotationRef/>
      </w:r>
      <w:r>
        <w:rPr>
          <w:lang w:val="tr-TR"/>
        </w:rPr>
        <w:t xml:space="preserve">One figure can be added to this section to show some of the existing machines considering their high-speed definitions. In the subfig (a), it can show </w:t>
      </w:r>
      <w:r>
        <w:rPr>
          <w:i/>
          <w:iCs/>
          <w:lang w:val="en-GB"/>
        </w:rPr>
        <w:t>r</w:t>
      </w:r>
      <w:r>
        <w:rPr>
          <w:vertAlign w:val="subscript"/>
          <w:lang w:val="en-GB"/>
        </w:rPr>
        <w:t>r</w:t>
      </w:r>
      <w:r>
        <w:rPr>
          <w:lang w:val="en-GB"/>
        </w:rPr>
        <w:t xml:space="preserve"> </w:t>
      </w:r>
      <w:r>
        <w:rPr>
          <w:i/>
          <w:iCs/>
          <w:lang w:val="tr-TR"/>
        </w:rPr>
        <w:t xml:space="preserve">vs Ω, </w:t>
      </w:r>
      <w:r>
        <w:rPr>
          <w:lang w:val="tr-TR"/>
        </w:rPr>
        <w:t xml:space="preserve">while showing </w:t>
      </w:r>
      <w:r>
        <w:rPr>
          <w:i/>
          <w:iCs/>
        </w:rPr>
        <w:t>n</w:t>
      </w:r>
      <w:r>
        <w:rPr>
          <w:i/>
          <w:iCs/>
          <w:lang w:val="tr-TR"/>
        </w:rPr>
        <w:t xml:space="preserve"> vs </w:t>
      </w:r>
      <w:r>
        <w:rPr>
          <w:i/>
          <w:iCs/>
        </w:rPr>
        <w:t>P</w:t>
      </w:r>
      <w:r>
        <w:rPr>
          <w:i/>
          <w:iCs/>
          <w:lang w:val="tr-TR"/>
        </w:rPr>
        <w:t xml:space="preserve"> </w:t>
      </w:r>
      <w:r>
        <w:rPr>
          <w:lang w:val="tr-TR"/>
        </w:rPr>
        <w:t xml:space="preserve">in subfig (b). We can then think how to integrate </w:t>
      </w:r>
      <w:r>
        <w:rPr>
          <w:i/>
          <w:iCs/>
        </w:rPr>
        <w:t>fP</w:t>
      </w:r>
      <w:r>
        <w:rPr>
          <w:i/>
          <w:iCs/>
          <w:lang w:val="tr-TR"/>
        </w:rPr>
        <w:t xml:space="preserve"> </w:t>
      </w:r>
      <w:r>
        <w:rPr>
          <w:lang w:val="tr-TR"/>
        </w:rPr>
        <w:t>into these figures or it needs seperate subfigure.</w:t>
      </w:r>
    </w:p>
  </w:comment>
  <w:comment w:id="2" w:author="Hüseyin Canseven (LUT)" w:date="2026-04-28T23:59:00Z" w:initials="HC">
    <w:p w14:paraId="4A1AE7AA" w14:textId="77777777" w:rsidR="00F740F9" w:rsidRDefault="00F740F9" w:rsidP="00F740F9">
      <w:pPr>
        <w:pStyle w:val="CommentText"/>
      </w:pPr>
      <w:r>
        <w:rPr>
          <w:rStyle w:val="CommentReference"/>
        </w:rPr>
        <w:annotationRef/>
      </w:r>
      <w:r>
        <w:rPr>
          <w:color w:val="222222"/>
          <w:highlight w:val="white"/>
        </w:rPr>
        <w:t>El Hajji, Taha, et al. "Optimal design of high specific power electric machines for fully electric regional aircraft: A case study of 1mw s-pmsm." </w:t>
      </w:r>
      <w:r>
        <w:rPr>
          <w:i/>
          <w:iCs/>
          <w:color w:val="222222"/>
          <w:highlight w:val="white"/>
        </w:rPr>
        <w:t>Aerospace</w:t>
      </w:r>
      <w:r>
        <w:rPr>
          <w:color w:val="222222"/>
          <w:highlight w:val="white"/>
        </w:rPr>
        <w:t> 11.10 (2024): 820.</w:t>
      </w:r>
      <w:r>
        <w:t xml:space="preserve"> </w:t>
      </w:r>
    </w:p>
  </w:comment>
  <w:comment w:id="3" w:author="Hüseyin Canseven (LUT)" w:date="2026-04-27T15:03:00Z" w:initials="HC">
    <w:p w14:paraId="0D608EBD" w14:textId="16774746" w:rsidR="005D26B4" w:rsidRDefault="005D26B4" w:rsidP="005D26B4">
      <w:pPr>
        <w:pStyle w:val="CommentText"/>
      </w:pPr>
      <w:r>
        <w:rPr>
          <w:rStyle w:val="CommentReference"/>
        </w:rPr>
        <w:annotationRef/>
      </w:r>
      <w:r>
        <w:rPr>
          <w:lang w:val="tr-TR"/>
        </w:rPr>
        <w:t>Interesting but nice definition!</w:t>
      </w:r>
    </w:p>
  </w:comment>
  <w:comment w:id="4" w:author="Hüseyin Canseven (LUT)" w:date="2026-09-07T16:24:00Z" w:initials="HC">
    <w:p w14:paraId="628EEEF9" w14:textId="77777777" w:rsidR="0024361B" w:rsidRDefault="0024361B" w:rsidP="0024361B">
      <w:pPr>
        <w:pStyle w:val="CommentText"/>
      </w:pPr>
      <w:r>
        <w:rPr>
          <w:rStyle w:val="CommentReference"/>
        </w:rPr>
        <w:annotationRef/>
      </w:r>
      <w:r>
        <w:rPr>
          <w:color w:val="222222"/>
          <w:highlight w:val="white"/>
        </w:rPr>
        <w:t>Armengaud, E., Ratz, F., Muñiz, Á., Poza, J., Garramiola, F., Almandoz, G., ... &amp; Montonen, J. (2025). European initiatives addressing high efficiency and low-cost electric motors for circularity and low use of rare resources. </w:t>
      </w:r>
      <w:r>
        <w:rPr>
          <w:i/>
          <w:iCs/>
          <w:color w:val="222222"/>
          <w:highlight w:val="white"/>
        </w:rPr>
        <w:t>SAE International Journal of Advances and Current Practices in Mobility 288445</w:t>
      </w:r>
      <w:r>
        <w:rPr>
          <w:color w:val="222222"/>
          <w:highlight w:val="white"/>
        </w:rPr>
        <w:t>, </w:t>
      </w:r>
      <w:r>
        <w:rPr>
          <w:i/>
          <w:iCs/>
          <w:color w:val="222222"/>
          <w:highlight w:val="white"/>
        </w:rPr>
        <w:t>7</w:t>
      </w:r>
      <w:r>
        <w:rPr>
          <w:color w:val="222222"/>
          <w:highlight w:val="white"/>
        </w:rPr>
        <w:t>(6), 2781-2794.</w:t>
      </w:r>
      <w:r>
        <w:t xml:space="preserve"> </w:t>
      </w:r>
    </w:p>
  </w:comment>
  <w:comment w:id="5" w:author="Juha Pyrhönen (LUT)" w:date="2026-09-03T17:12:00Z" w:initials="JP">
    <w:p w14:paraId="41249BBD" w14:textId="77777777" w:rsidR="004F6389" w:rsidRDefault="000B6A16" w:rsidP="004F6389">
      <w:pPr>
        <w:pStyle w:val="CommentText"/>
      </w:pPr>
      <w:r>
        <w:rPr>
          <w:rStyle w:val="CommentReference"/>
        </w:rPr>
        <w:annotationRef/>
      </w:r>
      <w:r w:rsidR="004F6389">
        <w:t>The gearbox looks too much AI generated. Can you just close it so that the non-oriented wheels are not visible? The HSD version is also non realistic. Typically the AMBs are located in the motor and the impeller just at the moto shaft after the AMB</w:t>
      </w:r>
    </w:p>
  </w:comment>
  <w:comment w:id="6" w:author="Hüseyin Canseven (LUT)" w:date="2026-04-27T15:34:00Z" w:initials="HC">
    <w:p w14:paraId="1F498FF5" w14:textId="77777777" w:rsidR="004C37D9" w:rsidRDefault="004C37D9" w:rsidP="004C37D9">
      <w:pPr>
        <w:pStyle w:val="CommentText"/>
      </w:pPr>
      <w:r>
        <w:rPr>
          <w:rStyle w:val="CommentReference"/>
        </w:rPr>
        <w:annotationRef/>
      </w:r>
      <w:r>
        <w:rPr>
          <w:lang w:val="tr-TR"/>
        </w:rPr>
        <w:t>One another figure can be included to this section. It can show side by side comparison of geared vs. direct-drive architectures</w:t>
      </w:r>
    </w:p>
  </w:comment>
  <w:comment w:id="7" w:author="Hüseyin Canseven (LUT)" w:date="2026-09-07T16:33:00Z" w:initials="HC">
    <w:p w14:paraId="21AC3F49" w14:textId="77777777" w:rsidR="00DE497E" w:rsidRDefault="00DE497E" w:rsidP="00DE497E">
      <w:pPr>
        <w:pStyle w:val="CommentText"/>
      </w:pPr>
      <w:r>
        <w:rPr>
          <w:rStyle w:val="CommentReference"/>
        </w:rPr>
        <w:annotationRef/>
      </w:r>
      <w:r>
        <w:rPr>
          <w:color w:val="222222"/>
          <w:highlight w:val="white"/>
        </w:rPr>
        <w:t>Scherman, E., Parviainen, M., Nutakor, C., Petrov, I., Pyrhönen, J., Sopanen, J. (2026). Impact of Rotor Topology on Dynamic Behavior and Manufacturing in a High-Speed Electric Machine. In: Sopanen, J., Kurvinen, E., Viitala, R., Holopainen, T., Choudhury, T. (eds) Proceedings of the 12th IFToMM International Conference on Rotordynamics. IFToMM 2026. Mechanisms and Machine Science, vol 211. Springer, Cham.</w:t>
      </w:r>
      <w:r>
        <w:t xml:space="preserve"> </w:t>
      </w:r>
    </w:p>
  </w:comment>
  <w:comment w:id="8" w:author="Juha Pyrhönen (LUT)" w:date="2026-09-03T17:32:00Z" w:initials="JP">
    <w:p w14:paraId="35627C89" w14:textId="64BFA1B4" w:rsidR="00E56949" w:rsidRDefault="00E56949" w:rsidP="00E56949">
      <w:pPr>
        <w:pStyle w:val="CommentText"/>
      </w:pPr>
      <w:r>
        <w:rPr>
          <w:rStyle w:val="CommentReference"/>
        </w:rPr>
        <w:annotationRef/>
      </w:r>
      <w:r>
        <w:t>Not sure if this is relevant. Ceramic balls are frequently used in case of HS bearings</w:t>
      </w:r>
    </w:p>
  </w:comment>
  <w:comment w:id="9" w:author="Juha Pyrhönen (LUT)" w:date="2026-09-03T17:38:00Z" w:initials="JP">
    <w:p w14:paraId="6AD9F795" w14:textId="77777777" w:rsidR="0028599E" w:rsidRDefault="0028599E" w:rsidP="0028599E">
      <w:pPr>
        <w:pStyle w:val="CommentText"/>
      </w:pPr>
      <w:r>
        <w:rPr>
          <w:rStyle w:val="CommentReference"/>
        </w:rPr>
        <w:annotationRef/>
      </w:r>
      <w:r>
        <w:t>It may be dangerous to say that gear oil is used as we have seen how difficult it is. We can just say that oil is used for cooling. The reader can then imagine from where it comes.</w:t>
      </w:r>
    </w:p>
  </w:comment>
  <w:comment w:id="10" w:author="Hüseyin Canseven (LUT)" w:date="2026-09-07T16:41:00Z" w:initials="HC">
    <w:p w14:paraId="7DB0A973" w14:textId="77777777" w:rsidR="00F816CB" w:rsidRDefault="00F816CB" w:rsidP="00F816CB">
      <w:pPr>
        <w:pStyle w:val="CommentText"/>
      </w:pPr>
      <w:r>
        <w:rPr>
          <w:rStyle w:val="CommentReference"/>
        </w:rPr>
        <w:annotationRef/>
      </w:r>
      <w:r>
        <w:rPr>
          <w:color w:val="222222"/>
          <w:highlight w:val="white"/>
        </w:rPr>
        <w:t>Canseven, H. T., Petrov, I., Martikainen, I., &amp; Pyrhönen, J. (2024). Eddy-Current Losses in Slitted Rotor Cores of PMSMs—Development of a Novel Method. </w:t>
      </w:r>
      <w:r>
        <w:rPr>
          <w:i/>
          <w:iCs/>
          <w:color w:val="222222"/>
          <w:highlight w:val="white"/>
        </w:rPr>
        <w:t>IEEE Transactions on Energy Conversion</w:t>
      </w:r>
      <w:r>
        <w:rPr>
          <w:color w:val="222222"/>
          <w:highlight w:val="white"/>
        </w:rPr>
        <w:t>, </w:t>
      </w:r>
      <w:r>
        <w:rPr>
          <w:i/>
          <w:iCs/>
          <w:color w:val="222222"/>
          <w:highlight w:val="white"/>
        </w:rPr>
        <w:t>40</w:t>
      </w:r>
      <w:r>
        <w:rPr>
          <w:color w:val="222222"/>
          <w:highlight w:val="white"/>
        </w:rPr>
        <w:t>(2), 1339-1349.</w:t>
      </w:r>
      <w:r>
        <w:t xml:space="preserve"> </w:t>
      </w:r>
    </w:p>
  </w:comment>
  <w:comment w:id="11" w:author="Juha Pyrhönen (LUT)" w:date="2026-09-03T17:50:00Z" w:initials="JP">
    <w:p w14:paraId="2CF5CD5D" w14:textId="77777777" w:rsidR="00D835BD" w:rsidRDefault="00D835BD" w:rsidP="00D835BD">
      <w:pPr>
        <w:pStyle w:val="CommentText"/>
      </w:pPr>
      <w:r>
        <w:rPr>
          <w:rStyle w:val="CommentReference"/>
        </w:rPr>
        <w:annotationRef/>
      </w:r>
      <w:r>
        <w:t>This comes here as a surprise. Please write an introduction</w:t>
      </w:r>
    </w:p>
  </w:comment>
  <w:comment w:id="12" w:author="Hüseyin Canseven (LUT)" w:date="2026-04-27T15:42:00Z" w:initials="HC">
    <w:p w14:paraId="0841F42F" w14:textId="77777777" w:rsidR="0088122D" w:rsidRDefault="0088122D" w:rsidP="0088122D">
      <w:pPr>
        <w:pStyle w:val="CommentText"/>
      </w:pPr>
      <w:r>
        <w:rPr>
          <w:rStyle w:val="CommentReference"/>
        </w:rPr>
        <w:annotationRef/>
      </w:r>
      <w:r>
        <w:rPr>
          <w:lang w:val="tr-TR"/>
        </w:rPr>
        <w:t xml:space="preserve">we can include here a figure that show </w:t>
      </w:r>
      <w:r>
        <w:rPr>
          <w:color w:val="000000"/>
          <w:lang w:val="tr-TR"/>
        </w:rPr>
        <w:t xml:space="preserve">an illustration of a long, and thin rotor shaft. It can be Show the "1st bending mode" (a bow-shape) and "2nd bending mode" (an S-shape) with dashed lines indicating the original straight shaft. </w:t>
      </w:r>
    </w:p>
  </w:comment>
  <w:comment w:id="13" w:author="Hüseyin Canseven (LUT)" w:date="2026-09-07T16:44:00Z" w:initials="HC">
    <w:p w14:paraId="0D89D26C" w14:textId="77777777" w:rsidR="00D32D40" w:rsidRDefault="00D32D40" w:rsidP="00D32D40">
      <w:pPr>
        <w:pStyle w:val="CommentText"/>
      </w:pPr>
      <w:r>
        <w:rPr>
          <w:rStyle w:val="CommentReference"/>
        </w:rPr>
        <w:annotationRef/>
      </w:r>
      <w:r>
        <w:t xml:space="preserve">Lipo, T. A. (2017). Analysis of synchronous machines. CRC press. </w:t>
      </w:r>
    </w:p>
  </w:comment>
  <w:comment w:id="14" w:author="Hüseyin Canseven (LUT)" w:date="2026-09-07T16:45:00Z" w:initials="HC">
    <w:p w14:paraId="330C786C" w14:textId="77777777" w:rsidR="0037271A" w:rsidRDefault="0037271A" w:rsidP="0037271A">
      <w:pPr>
        <w:pStyle w:val="CommentText"/>
      </w:pPr>
      <w:r>
        <w:rPr>
          <w:rStyle w:val="CommentReference"/>
        </w:rPr>
        <w:annotationRef/>
      </w:r>
      <w:r>
        <w:t>Pyrhönen, J., Jokinen, T., and Hrabovcova, V. (2013). Design of rotating electrical machines. John Wiley &amp; Sons.</w:t>
      </w:r>
    </w:p>
  </w:comment>
  <w:comment w:id="15" w:author="Hüseyin Canseven (LUT)" w:date="2026-04-27T15:46:00Z" w:initials="HC">
    <w:p w14:paraId="4283F15D" w14:textId="77777777" w:rsidR="00FF58ED" w:rsidRDefault="00FF58ED" w:rsidP="00FF58ED">
      <w:pPr>
        <w:pStyle w:val="CommentText"/>
      </w:pPr>
      <w:r>
        <w:rPr>
          <w:rStyle w:val="CommentReference"/>
        </w:rPr>
        <w:annotationRef/>
      </w:r>
      <w:r>
        <w:rPr>
          <w:lang w:val="tr-TR"/>
        </w:rPr>
        <w:t>I have a good figure idea to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C37DE8" w15:done="1"/>
  <w15:commentEx w15:paraId="4A1AE7AA" w15:done="0"/>
  <w15:commentEx w15:paraId="0D608EBD" w15:done="1"/>
  <w15:commentEx w15:paraId="628EEEF9" w15:done="0"/>
  <w15:commentEx w15:paraId="41249BBD" w15:done="1"/>
  <w15:commentEx w15:paraId="1F498FF5" w15:done="1"/>
  <w15:commentEx w15:paraId="21AC3F49" w15:done="0"/>
  <w15:commentEx w15:paraId="35627C89" w15:done="1"/>
  <w15:commentEx w15:paraId="6AD9F795" w15:done="1"/>
  <w15:commentEx w15:paraId="7DB0A973" w15:done="0"/>
  <w15:commentEx w15:paraId="2CF5CD5D" w15:done="1"/>
  <w15:commentEx w15:paraId="0841F42F" w15:done="1"/>
  <w15:commentEx w15:paraId="0D89D26C" w15:done="0"/>
  <w15:commentEx w15:paraId="330C786C" w15:done="0"/>
  <w15:commentEx w15:paraId="4283F1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B8C92" w16cex:dateUtc="2026-04-27T12:33:00Z"/>
  <w16cex:commentExtensible w16cex:durableId="10552493" w16cex:dateUtc="2026-04-28T20:59:00Z"/>
  <w16cex:commentExtensible w16cex:durableId="4902BB93" w16cex:dateUtc="2026-04-27T12:03:00Z"/>
  <w16cex:commentExtensible w16cex:durableId="3E8A342C" w16cex:dateUtc="2026-09-07T13:24:00Z"/>
  <w16cex:commentExtensible w16cex:durableId="733152ED" w16cex:dateUtc="2026-09-03T14:12:00Z"/>
  <w16cex:commentExtensible w16cex:durableId="01C49231" w16cex:dateUtc="2026-04-27T12:34:00Z"/>
  <w16cex:commentExtensible w16cex:durableId="7F9DECB1" w16cex:dateUtc="2026-09-07T13:33:00Z"/>
  <w16cex:commentExtensible w16cex:durableId="1AA277DA" w16cex:dateUtc="2026-09-03T14:32:00Z"/>
  <w16cex:commentExtensible w16cex:durableId="35951B1E" w16cex:dateUtc="2026-09-03T14:38:00Z"/>
  <w16cex:commentExtensible w16cex:durableId="36AE446B" w16cex:dateUtc="2026-09-07T13:41:00Z"/>
  <w16cex:commentExtensible w16cex:durableId="5DE6FB10" w16cex:dateUtc="2026-09-03T14:50:00Z"/>
  <w16cex:commentExtensible w16cex:durableId="355645F5" w16cex:dateUtc="2026-04-27T12:42:00Z"/>
  <w16cex:commentExtensible w16cex:durableId="50BAC424" w16cex:dateUtc="2026-09-07T13:44:00Z"/>
  <w16cex:commentExtensible w16cex:durableId="3358BCD9" w16cex:dateUtc="2026-09-07T13:45:00Z"/>
  <w16cex:commentExtensible w16cex:durableId="451D7046" w16cex:dateUtc="2026-04-27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C37DE8" w16cid:durableId="240B8C92"/>
  <w16cid:commentId w16cid:paraId="4A1AE7AA" w16cid:durableId="10552493"/>
  <w16cid:commentId w16cid:paraId="0D608EBD" w16cid:durableId="4902BB93"/>
  <w16cid:commentId w16cid:paraId="628EEEF9" w16cid:durableId="3E8A342C"/>
  <w16cid:commentId w16cid:paraId="41249BBD" w16cid:durableId="733152ED"/>
  <w16cid:commentId w16cid:paraId="1F498FF5" w16cid:durableId="01C49231"/>
  <w16cid:commentId w16cid:paraId="21AC3F49" w16cid:durableId="7F9DECB1"/>
  <w16cid:commentId w16cid:paraId="35627C89" w16cid:durableId="1AA277DA"/>
  <w16cid:commentId w16cid:paraId="6AD9F795" w16cid:durableId="35951B1E"/>
  <w16cid:commentId w16cid:paraId="7DB0A973" w16cid:durableId="36AE446B"/>
  <w16cid:commentId w16cid:paraId="2CF5CD5D" w16cid:durableId="5DE6FB10"/>
  <w16cid:commentId w16cid:paraId="0841F42F" w16cid:durableId="355645F5"/>
  <w16cid:commentId w16cid:paraId="0D89D26C" w16cid:durableId="50BAC424"/>
  <w16cid:commentId w16cid:paraId="330C786C" w16cid:durableId="3358BCD9"/>
  <w16cid:commentId w16cid:paraId="4283F15D" w16cid:durableId="451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üseyin Canseven (LUT)">
    <w15:presenceInfo w15:providerId="AD" w15:userId="S::Huseyin.Canseven@lut.fi::6727b027-2115-4d67-ad55-ac0a7647c63b"/>
  </w15:person>
  <w15:person w15:author="Juha Pyrhönen (LUT)">
    <w15:presenceInfo w15:providerId="AD" w15:userId="S::Juha.Pyrhonen@lut.fi::b91cf7d3-a325-434d-b80e-608d750db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