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9140qtdlgjpm" w:id="0"/>
      <w:bookmarkEnd w:id="0"/>
      <w:r w:rsidDel="00000000" w:rsidR="00000000" w:rsidRPr="00000000">
        <w:rPr>
          <w:rtl w:val="0"/>
        </w:rPr>
        <w:t xml:space="preserve">CSHL Neurobiology of Drosophila - 2025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Dates:</w:t>
      </w:r>
      <w:r w:rsidDel="00000000" w:rsidR="00000000" w:rsidRPr="00000000">
        <w:rPr>
          <w:rtl w:val="0"/>
        </w:rPr>
        <w:t xml:space="preserve"> October 7 - 11,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Abstract Deadline: </w:t>
      </w:r>
      <w:r w:rsidDel="00000000" w:rsidR="00000000" w:rsidRPr="00000000">
        <w:rPr>
          <w:rtl w:val="0"/>
        </w:rPr>
        <w:t xml:space="preserve">July 21,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Cost:</w:t>
      </w:r>
      <w:r w:rsidDel="00000000" w:rsidR="00000000" w:rsidRPr="00000000">
        <w:rPr>
          <w:rtl w:val="0"/>
        </w:rPr>
        <w:t xml:space="preserve"> Academic/Media Private Room/Shared Bath Package: $1765, Academic Shared Room Package: $1610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Authors: </w:t>
      </w:r>
      <w:r w:rsidDel="00000000" w:rsidR="00000000" w:rsidRPr="00000000">
        <w:rPr>
          <w:rtl w:val="0"/>
        </w:rPr>
        <w:t xml:space="preserve">Alexander Shakeel Bates*, Helen Yang*, Jasper S. Phelps*, Minsu Kim*, Arie Matsliah, Zaki Ajabi, Eric Perlman, Kevin Delgado, Jay Gager, Mohammed Osman, Aelysia, </w:t>
      </w:r>
      <w:r w:rsidDel="00000000" w:rsidR="00000000" w:rsidRPr="00000000">
        <w:rPr>
          <w:rtl w:val="0"/>
        </w:rPr>
        <w:t xml:space="preserve">Zetta.ai</w:t>
      </w:r>
      <w:r w:rsidDel="00000000" w:rsidR="00000000" w:rsidRPr="00000000">
        <w:rPr>
          <w:rtl w:val="0"/>
        </w:rPr>
        <w:t xml:space="preserve">, the CAVE team, the FlyWire Consortium, Mala Murthy, Jan Drugowitsch, Rachel I Wilson*, Wei-Chung Allen Lee*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1080" w:hanging="360"/>
        <w:rPr>
          <w:highlight w:val="white"/>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Department of Neurobiology, Harvard Medical School, Boston, MA 02115, USA</w:t>
      </w:r>
    </w:p>
    <w:p w:rsidR="00000000" w:rsidDel="00000000" w:rsidP="00000000" w:rsidRDefault="00000000" w:rsidRPr="00000000" w14:paraId="0000000C">
      <w:pPr>
        <w:ind w:left="1080" w:hanging="360"/>
        <w:rPr>
          <w:highlight w:val="white"/>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Princeton Neuroscience Institute, Princeton University, Princeton, NJ, 08540</w:t>
      </w:r>
    </w:p>
    <w:p w:rsidR="00000000" w:rsidDel="00000000" w:rsidP="00000000" w:rsidRDefault="00000000" w:rsidRPr="00000000" w14:paraId="0000000D">
      <w:pPr>
        <w:ind w:left="1080" w:hanging="360"/>
        <w:rPr>
          <w:highlight w:val="white"/>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Yikes LLC, Baltimore, MD, 21218, USA</w:t>
      </w:r>
    </w:p>
    <w:p w:rsidR="00000000" w:rsidDel="00000000" w:rsidP="00000000" w:rsidRDefault="00000000" w:rsidRPr="00000000" w14:paraId="0000000E">
      <w:pPr>
        <w:ind w:left="1080" w:hanging="360"/>
        <w:rPr>
          <w:highlight w:val="white"/>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Aelysia LTD, Bristol BS9 3BY, UK</w:t>
      </w:r>
    </w:p>
    <w:p w:rsidR="00000000" w:rsidDel="00000000" w:rsidP="00000000" w:rsidRDefault="00000000" w:rsidRPr="00000000" w14:paraId="0000000F">
      <w:pPr>
        <w:ind w:left="1080" w:hanging="360"/>
        <w:rPr>
          <w:highlight w:val="white"/>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Zetta AI LLC</w:t>
      </w:r>
    </w:p>
    <w:p w:rsidR="00000000" w:rsidDel="00000000" w:rsidP="00000000" w:rsidRDefault="00000000" w:rsidRPr="00000000" w14:paraId="00000010">
      <w:pPr>
        <w:ind w:left="1080" w:hanging="360"/>
        <w:rPr>
          <w:highlight w:val="white"/>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highlight w:val="white"/>
          <w:rtl w:val="0"/>
        </w:rPr>
        <w:t xml:space="preserve">F.M. Kirby Neurobiology Center, Boston Children's Hospital, Harvard Medical School, Boston, MA 02115, USA</w:t>
      </w:r>
    </w:p>
    <w:p w:rsidR="00000000" w:rsidDel="00000000" w:rsidP="00000000" w:rsidRDefault="00000000" w:rsidRPr="00000000" w14:paraId="00000011">
      <w:pPr>
        <w:rPr/>
      </w:pPr>
      <w:r w:rsidDel="00000000" w:rsidR="00000000" w:rsidRPr="00000000">
        <w:rPr>
          <w:rtl w:val="0"/>
        </w:rPr>
        <w:br w:type="textWrapping"/>
        <w:t xml:space="preserve">[max 18 authors for upload portals]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Character limit</w:t>
      </w:r>
      <w:r w:rsidDel="00000000" w:rsidR="00000000" w:rsidRPr="00000000">
        <w:rPr>
          <w:rtl w:val="0"/>
        </w:rPr>
        <w:t xml:space="preserve">: ~2900 characters</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Abstract: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2sb7cobe8iix" w:id="1"/>
      <w:bookmarkEnd w:id="1"/>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rPr>
          <w:i w:val="1"/>
          <w:iCs w:val="1"/>
        </w:rPr>
      </w:pPr>
      <w:bookmarkStart w:colFirst="0" w:colLast="0" w:name="_91i7ik4p0ylh" w:id="2"/>
      <w:bookmarkEnd w:id="2"/>
      <w:r w:rsidDel="00000000" w:rsidR="00000000" w:rsidRPr="00000000">
        <w:rPr>
          <w:rtl w:val="0"/>
        </w:rPr>
        <w:t xml:space="preserve">Distributed behavioural control across the full brain-and-nerve-cord (BANC) connectome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240" w:lineRule="auto"/>
        <w:jc w:val="both"/>
        <w:rPr/>
      </w:pPr>
      <w:r w:rsidDel="00000000" w:rsidR="00000000" w:rsidRPr="00000000">
        <w:rPr>
          <w:rtl w:val="0"/>
        </w:rPr>
        <w:t xml:space="preserve">As genomes revolutionised molecular biology, connectomes (maps of neurons and synapses) are transforming neuroscience by enabling systems-level insight into neuronal function. We present the Brain and Nerve Cord (BANC) connectome, a first comprehensive synapse-resolution map of an adult arthropod central nervous system (CNS) comprising ~160,000 neurons. It includes the detection of nuclei, mitochondria, synapses and neurotransmitter classes. While previous connectomes have mapped the brain and cord separately, the BANC unites both with an intact neck connective. By identifying the majority of input and output neurons, we have produced an ‘embodied’ connectome, linking the CNS to peripheral systems across the body.</w:t>
      </w:r>
    </w:p>
    <w:p w:rsidR="00000000" w:rsidDel="00000000" w:rsidP="00000000" w:rsidRDefault="00000000" w:rsidRPr="00000000" w14:paraId="0000001B">
      <w:pPr>
        <w:spacing w:line="240" w:lineRule="auto"/>
        <w:jc w:val="both"/>
        <w:rPr/>
      </w:pPr>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rtl w:val="0"/>
        </w:rPr>
        <w:t xml:space="preserve">To interpret this connectome, we developed a new ‘influence’ metric for indirect connectivity, based on a linear dynamical model and calculable between any source and target neuron. Using this, we show that sensory neurons exert the greatest influence on body-part-matched effectors (motor neurons and endocrine neurons). These local modules are, in turn, strongly ‘influenced’ by</w:t>
      </w:r>
      <w:r w:rsidDel="00000000" w:rsidR="00000000" w:rsidRPr="00000000">
        <w:rPr>
          <w:highlight w:val="white"/>
          <w:rtl w:val="0"/>
        </w:rPr>
        <w:t xml:space="preserve"> long-range circuits that ‘descend’ or ‘ascend’ through the neck, which can coordinate across body regions, enabling rich combinations of sensorimotor control and complex behaviour.</w:t>
      </w:r>
      <w:r w:rsidDel="00000000" w:rsidR="00000000" w:rsidRPr="00000000">
        <w:rPr>
          <w:rtl w:val="0"/>
        </w:rPr>
      </w:r>
    </w:p>
    <w:p w:rsidR="00000000" w:rsidDel="00000000" w:rsidP="00000000" w:rsidRDefault="00000000" w:rsidRPr="00000000" w14:paraId="0000001D">
      <w:pPr>
        <w:spacing w:line="240" w:lineRule="auto"/>
        <w:jc w:val="both"/>
        <w:rPr/>
      </w:pP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t xml:space="preserve">These could be the threads that centralised controllers pull on to effect behaviour. Our analysis suggests instead that behaviour arises from a distributed architecture, where modular feedback loops can be flexibly composed to support distinct behaviours, including flight, walking, probing, feeding, mating, grooming, visceral state regulation and sensory perception. Specific neurons of these modules are poised to coordinate actions by ‘subsuming’ sets of lower-order modules. These findings are consistent with the framework of ‘subsumption architecture’, an idea in autonomous robotics in which a real-time control system couples sensory information to action in an intimate and bottom-up fashion. Supervisory layers (mushroom bodies, central complex) are built around this subsumptive core to manage pattern recognition, long-term parameterisation, or goal-directed behaviour when engaged; however, these ‘cognitive’ regions are bypassed by most sensor-actuator loops.</w:t>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t xml:space="preserve">The BANC was made possible through an open-science community collaboration, integrating typology and metadata from prior </w:t>
      </w:r>
      <w:r w:rsidDel="00000000" w:rsidR="00000000" w:rsidRPr="00000000">
        <w:rPr>
          <w:i w:val="1"/>
          <w:iCs w:val="1"/>
          <w:rtl w:val="0"/>
        </w:rPr>
        <w:t xml:space="preserve">Drosophila </w:t>
      </w:r>
      <w:r w:rsidDel="00000000" w:rsidR="00000000" w:rsidRPr="00000000">
        <w:rPr>
          <w:rtl w:val="0"/>
        </w:rPr>
        <w:t xml:space="preserve">connectomes. Because we could draw on the expertise of a large community, we were able to federate a highly embodied connectome. </w:t>
      </w:r>
      <w:r w:rsidDel="00000000" w:rsidR="00000000" w:rsidRPr="00000000">
        <w:rPr>
          <w:rtl w:val="0"/>
        </w:rPr>
        <w:t xml:space="preserve">To the consortium contributors present at this conference and other BANC users, thank you.</w:t>
      </w:r>
      <w:r w:rsidDel="00000000" w:rsidR="00000000" w:rsidRPr="00000000">
        <w:rPr>
          <w:rtl w:val="0"/>
        </w:rPr>
        <w:t xml:space="preserve"> </w:t>
      </w:r>
      <w:r w:rsidDel="00000000" w:rsidR="00000000" w:rsidRPr="00000000">
        <w:rPr>
          <w:rtl w:val="0"/>
        </w:rPr>
        <w:t xml:space="preserve">Like a genome serves molecular biology, we anticipate this connectome</w:t>
      </w:r>
      <w:r w:rsidDel="00000000" w:rsidR="00000000" w:rsidRPr="00000000">
        <w:rPr>
          <w:rtl w:val="0"/>
        </w:rPr>
        <w:t xml:space="preserve"> (https://codex.flywire.ai/?dataset=banc)</w:t>
      </w:r>
      <w:r w:rsidDel="00000000" w:rsidR="00000000" w:rsidRPr="00000000">
        <w:rPr>
          <w:rtl w:val="0"/>
        </w:rPr>
        <w:t xml:space="preserve"> will serve as a reference resource, fuelling further discovery with continued community engagement.</w:t>
      </w:r>
      <w:r w:rsidDel="00000000" w:rsidR="00000000" w:rsidRPr="00000000">
        <w:rPr>
          <w:rtl w:val="0"/>
        </w:rPr>
        <w:t xml:space="preserve"> </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