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/>
      </w:pPr>
      <w:r>
        <w:rPr>
          <w:rFonts w:ascii="Calibri" w:hAnsi="Calibri"/>
          <w:b/>
          <w:i w:val="0"/>
          <w:color w:val="2E74B5"/>
          <w:sz w:val="20"/>
        </w:rPr>
        <w:t>DEFENSE PREPARATION PACK</w:t>
      </w:r>
    </w:p>
    <w:p>
      <w:pPr>
        <w:spacing w:after="120"/>
      </w:pPr>
      <w:r>
        <w:rPr>
          <w:rFonts w:ascii="Calibri" w:hAnsi="Calibri"/>
          <w:b/>
          <w:i w:val="0"/>
          <w:color w:val="1F2933"/>
          <w:sz w:val="54"/>
        </w:rPr>
        <w:t>MM Scholar</w:t>
      </w:r>
    </w:p>
    <w:p>
      <w:pPr>
        <w:spacing w:after="360"/>
      </w:pPr>
      <w:r>
        <w:rPr>
          <w:rFonts w:ascii="Calibri" w:hAnsi="Calibri"/>
          <w:b w:val="0"/>
          <w:i w:val="0"/>
          <w:color w:val="667085"/>
          <w:sz w:val="28"/>
        </w:rPr>
        <w:t>Rehearsal script, examiner Q&amp;A, and live-demo runbook</w:t>
      </w:r>
    </w:p>
    <w:p>
      <w:pPr>
        <w:spacing w:after="60"/>
      </w:pPr>
      <w:r>
        <w:rPr>
          <w:rFonts w:ascii="Calibri" w:hAnsi="Calibri"/>
          <w:b/>
          <w:i w:val="0"/>
          <w:color w:val="1F2933"/>
          <w:sz w:val="22"/>
        </w:rPr>
        <w:t xml:space="preserve">Candidate: </w:t>
      </w:r>
      <w:r>
        <w:rPr>
          <w:rFonts w:ascii="Calibri" w:hAnsi="Calibri"/>
          <w:b w:val="0"/>
          <w:i w:val="0"/>
          <w:color w:val="1F2933"/>
          <w:sz w:val="22"/>
        </w:rPr>
        <w:t>Htet Arkar Linn</w:t>
      </w:r>
    </w:p>
    <w:p>
      <w:pPr>
        <w:spacing w:after="60"/>
      </w:pPr>
      <w:r>
        <w:rPr>
          <w:rFonts w:ascii="Calibri" w:hAnsi="Calibri"/>
          <w:b/>
          <w:i w:val="0"/>
          <w:color w:val="1F2933"/>
          <w:sz w:val="22"/>
        </w:rPr>
        <w:t xml:space="preserve">Defense window: </w:t>
      </w:r>
      <w:r>
        <w:rPr>
          <w:rFonts w:ascii="Calibri" w:hAnsi="Calibri"/>
          <w:b w:val="0"/>
          <w:i w:val="0"/>
          <w:color w:val="1F2933"/>
          <w:sz w:val="22"/>
        </w:rPr>
        <w:t>July 13–17, 2026</w:t>
      </w:r>
    </w:p>
    <w:p>
      <w:pPr>
        <w:spacing w:after="60"/>
      </w:pPr>
      <w:r>
        <w:rPr>
          <w:rFonts w:ascii="Calibri" w:hAnsi="Calibri"/>
          <w:b/>
          <w:i w:val="0"/>
          <w:color w:val="1F2933"/>
          <w:sz w:val="22"/>
        </w:rPr>
        <w:t xml:space="preserve">Presentation length: </w:t>
      </w:r>
      <w:r>
        <w:rPr>
          <w:rFonts w:ascii="Calibri" w:hAnsi="Calibri"/>
          <w:b w:val="0"/>
          <w:i w:val="0"/>
          <w:color w:val="1F2933"/>
          <w:sz w:val="22"/>
        </w:rPr>
        <w:t>Approximately 15 minutes</w:t>
      </w:r>
    </w:p>
    <w:p>
      <w:pPr>
        <w:spacing w:after="60"/>
      </w:pPr>
      <w:r>
        <w:rPr>
          <w:rFonts w:ascii="Calibri" w:hAnsi="Calibri"/>
          <w:b/>
          <w:i w:val="0"/>
          <w:color w:val="1F2933"/>
          <w:sz w:val="22"/>
        </w:rPr>
        <w:t xml:space="preserve">Prepared talk: </w:t>
      </w:r>
      <w:r>
        <w:rPr>
          <w:rFonts w:ascii="Calibri" w:hAnsi="Calibri"/>
          <w:b w:val="0"/>
          <w:i w:val="0"/>
          <w:color w:val="1F2933"/>
          <w:sz w:val="22"/>
        </w:rPr>
        <w:t>13:25, leaving about 1:35 for transitions</w:t>
      </w:r>
    </w:p>
    <w:p>
      <w:pPr>
        <w:spacing w:after="60"/>
      </w:pPr>
      <w:r>
        <w:rPr>
          <w:rFonts w:ascii="Calibri" w:hAnsi="Calibri"/>
          <w:b/>
          <w:i w:val="0"/>
          <w:color w:val="1F2933"/>
          <w:sz w:val="22"/>
        </w:rPr>
        <w:t xml:space="preserve">Deck: </w:t>
      </w:r>
      <w:r>
        <w:rPr>
          <w:rFonts w:ascii="Calibri" w:hAnsi="Calibri"/>
          <w:b w:val="0"/>
          <w:i w:val="0"/>
          <w:color w:val="1F2933"/>
          <w:sz w:val="22"/>
        </w:rPr>
        <w:t>mm-scholar-thesis-defense.pptx · 11 slides</w:t>
      </w:r>
    </w:p>
    <w:p>
      <w:pPr>
        <w:keepLines/>
        <w:spacing w:before="120" w:after="200"/>
        <w:ind w:left="173" w:right="115"/>
        <w:shd w:fill="F4F6F9"/>
        <w:pBdr>
          <w:left w:val="single" w:sz="18" w:space="8" w:color="2E74B5"/>
        </w:pBdr>
      </w:pPr>
      <w:r>
        <w:rPr>
          <w:rFonts w:ascii="Calibri" w:hAnsi="Calibri"/>
          <w:b/>
          <w:i w:val="0"/>
          <w:color w:val="2E74B5"/>
          <w:sz w:val="20"/>
        </w:rPr>
        <w:t xml:space="preserve">CORE DEFENSE MESSAGE  </w:t>
      </w:r>
      <w:r>
        <w:rPr>
          <w:rFonts w:ascii="Calibri" w:hAnsi="Calibri"/>
          <w:b w:val="0"/>
          <w:i w:val="0"/>
          <w:color w:val="1F2933"/>
          <w:sz w:val="21"/>
        </w:rPr>
        <w:t>MM Scholar uses explicit eligibility rules to filter scholarships, then distance-weighted kNN to rank the remaining candidates. It supports student decisions; it does not guarantee eligibility or award outcomes.</w:t>
      </w:r>
    </w:p>
    <w:p>
      <w:pPr>
        <w:pStyle w:val="Heading1"/>
        <w:keepNext/>
      </w:pPr>
      <w:r>
        <w:t>Three sentences to memorize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F2933"/>
          <w:sz w:val="22"/>
        </w:rPr>
        <w:t>The problem is fragmented scholarship information and inconsistent eligibility rules.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F2933"/>
          <w:sz w:val="22"/>
        </w:rPr>
        <w:t>The technical contribution is SQL eligibility filtering followed by machine-learning ranking.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F2933"/>
          <w:sz w:val="22"/>
        </w:rPr>
        <w:t>The practical contribution is a deployed Flask application with a transparent top-three shortlist.</w:t>
      </w:r>
    </w:p>
    <w:p>
      <w:pPr>
        <w:pStyle w:val="Heading1"/>
        <w:keepNext/>
      </w:pPr>
      <w:r>
        <w:t>Delivery rules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F2933"/>
          <w:sz w:val="22"/>
        </w:rPr>
        <w:t>Say “relative match score,” not “chance of winning.”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F2933"/>
          <w:sz w:val="22"/>
        </w:rPr>
        <w:t>Say “84 modeled classes out of 87 catalogued scholarships.”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F2933"/>
          <w:sz w:val="22"/>
        </w:rPr>
        <w:t>Pause after the architecture and evaluation slides.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F2933"/>
          <w:sz w:val="22"/>
        </w:rPr>
        <w:t>State limitations, explain mitigation, and describe future work—do not apologize for them.</w:t>
      </w:r>
    </w:p>
    <w:p>
      <w:r>
        <w:br w:type="page"/>
      </w:r>
    </w:p>
    <w:p>
      <w:pPr>
        <w:pStyle w:val="Heading1"/>
        <w:keepNext/>
      </w:pPr>
      <w:r>
        <w:t>Timed presentation map</w:t>
      </w:r>
    </w:p>
    <w:p>
      <w:pPr/>
      <w:r>
        <w:rPr>
          <w:rFonts w:ascii="Calibri" w:hAnsi="Calibri"/>
          <w:b w:val="0"/>
          <w:i w:val="0"/>
          <w:color w:val="1F2933"/>
          <w:sz w:val="22"/>
        </w:rPr>
        <w:t>Target: 13:25 of prepared speaking. The remaining time absorbs slide changes, demo interaction, and a short pause before questions.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F2933"/>
          <w:sz w:val="22"/>
        </w:rPr>
        <w:t>Slide 1 · MM Scholar · 0:45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F2933"/>
          <w:sz w:val="22"/>
        </w:rPr>
        <w:t>Slide 2 · Problem and objectives · 1:00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F2933"/>
          <w:sz w:val="22"/>
        </w:rPr>
        <w:t>Slide 3 · Dataset · 1:05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F2933"/>
          <w:sz w:val="22"/>
        </w:rPr>
        <w:t>Slide 4 · Architecture · 1:20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F2933"/>
          <w:sz w:val="22"/>
        </w:rPr>
        <w:t>Slide 5 · Recommendation flow · 1:20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F2933"/>
          <w:sz w:val="22"/>
        </w:rPr>
        <w:t>Slide 6 · Machine-learning pipelines · 1:20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F2933"/>
          <w:sz w:val="22"/>
        </w:rPr>
        <w:t>Slide 7 · Evaluation · 1:25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F2933"/>
          <w:sz w:val="22"/>
        </w:rPr>
        <w:t>Slide 8 · Why kNN? · 1:15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F2933"/>
          <w:sz w:val="22"/>
        </w:rPr>
        <w:t>Slide 9 · Live demo · 1:35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F2933"/>
          <w:sz w:val="22"/>
        </w:rPr>
        <w:t>Slide 10 · Limitations · 1:15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F2933"/>
          <w:sz w:val="22"/>
        </w:rPr>
        <w:t>Slide 11 · Conclusion · 0:45</w:t>
      </w:r>
    </w:p>
    <w:p>
      <w:pPr>
        <w:keepLines/>
        <w:spacing w:before="120" w:after="200"/>
        <w:ind w:left="173" w:right="115"/>
        <w:shd w:fill="F4F6F9"/>
        <w:pBdr>
          <w:left w:val="single" w:sz="18" w:space="8" w:color="2E74B5"/>
        </w:pBdr>
      </w:pPr>
      <w:r>
        <w:rPr>
          <w:rFonts w:ascii="Calibri" w:hAnsi="Calibri"/>
          <w:b/>
          <w:i w:val="0"/>
          <w:color w:val="2E74B5"/>
          <w:sz w:val="20"/>
        </w:rPr>
        <w:t xml:space="preserve">PACING CHECKPOINT  </w:t>
      </w:r>
      <w:r>
        <w:rPr>
          <w:rFonts w:ascii="Calibri" w:hAnsi="Calibri"/>
          <w:b w:val="0"/>
          <w:i w:val="0"/>
          <w:color w:val="1F2933"/>
          <w:sz w:val="21"/>
        </w:rPr>
        <w:t>Reach Slide 5 by roughly 5:30, Slide 9 by roughly 10:30, and the final slide by 13:25. If behind, shorten Slides 6 and 10; never rush the match-score explanation.</w:t>
      </w:r>
    </w:p>
    <w:p>
      <w:r>
        <w:br w:type="page"/>
      </w:r>
    </w:p>
    <w:p>
      <w:pPr>
        <w:pStyle w:val="Heading1"/>
        <w:keepNext/>
      </w:pPr>
      <w:r>
        <w:t>Rehearsal script · Slides 1–5</w:t>
      </w:r>
    </w:p>
    <w:p>
      <w:pPr>
        <w:pStyle w:val="Heading2"/>
        <w:keepNext/>
      </w:pPr>
      <w:r>
        <w:t>Slide 1 · MM Scholar · 0:45</w:t>
      </w:r>
    </w:p>
    <w:p>
      <w:pPr/>
      <w:r>
        <w:rPr>
          <w:rFonts w:ascii="Calibri" w:hAnsi="Calibri"/>
          <w:b w:val="0"/>
          <w:i w:val="0"/>
          <w:color w:val="1F2933"/>
          <w:sz w:val="22"/>
        </w:rPr>
        <w:t>Good morning. My project is MM Scholar, a web-based recommendation system designed to help Myanmar students discover scholarships that fit their academic profile. I will explain the problem, the data, the recommendation pipeline, the evaluation results, and then show a short live demonstration.</w:t>
      </w:r>
    </w:p>
    <w:p>
      <w:pPr>
        <w:pStyle w:val="Heading2"/>
        <w:keepNext/>
      </w:pPr>
      <w:r>
        <w:t>Slide 2 · Problem and objectives · 1:00</w:t>
      </w:r>
    </w:p>
    <w:p>
      <w:pPr/>
      <w:r>
        <w:rPr>
          <w:rFonts w:ascii="Calibri" w:hAnsi="Calibri"/>
          <w:b w:val="0"/>
          <w:i w:val="0"/>
          <w:color w:val="1F2933"/>
          <w:sz w:val="22"/>
        </w:rPr>
        <w:t>The core problem is not a lack of scholarship websites. It is the effort required to compare different rules across many sources and judge which opportunities are relevant. I defined four objectives: centralize scholarship information, filter clearly ineligible options, rank the remaining candidates, and explain the result in plain language.</w:t>
      </w:r>
    </w:p>
    <w:p>
      <w:pPr>
        <w:pStyle w:val="Heading2"/>
        <w:keepNext/>
      </w:pPr>
      <w:r>
        <w:t>Slide 3 · Dataset · 1:05</w:t>
      </w:r>
    </w:p>
    <w:p>
      <w:pPr/>
      <w:r>
        <w:rPr>
          <w:rFonts w:ascii="Calibri" w:hAnsi="Calibri"/>
          <w:b w:val="0"/>
          <w:i w:val="0"/>
          <w:color w:val="1F2933"/>
          <w:sz w:val="22"/>
        </w:rPr>
        <w:t>The cleaned dataset contains 690 eligibility rows representing 87 unique scholarships across 30 destination categories, with no missing values in the modeled fields. The user profile contains six inputs: country, degree level, funding type, field, GPA, and IELTS. Eighty-four scholarships are used in supervised model training. Three singleton scholarships remain searchable in the catalogue but cannot be split safely for training and evaluation.</w:t>
      </w:r>
    </w:p>
    <w:p>
      <w:pPr>
        <w:pStyle w:val="Heading2"/>
        <w:keepNext/>
      </w:pPr>
      <w:r>
        <w:t>Slide 4 · Architecture · 1:20</w:t>
      </w:r>
    </w:p>
    <w:p>
      <w:pPr/>
      <w:r>
        <w:rPr>
          <w:rFonts w:ascii="Calibri" w:hAnsi="Calibri"/>
          <w:b w:val="0"/>
          <w:i w:val="0"/>
          <w:color w:val="1F2933"/>
          <w:sz w:val="22"/>
        </w:rPr>
        <w:t>The application uses a layered Flask architecture. The browser submits a profile through Jinja templates. Flask routes handle the request and call the service layer. Recommendation services validate, filter, and score; the explanation service calls Gemini only when requested and includes a fallback. Repositories isolate data access. Scholarship data uses SQLite, while feedback can use SQLite locally or PostgreSQL in deployment. Gunicorn serves the application on Render.</w:t>
      </w:r>
    </w:p>
    <w:p>
      <w:pPr>
        <w:pStyle w:val="Heading2"/>
        <w:keepNext/>
      </w:pPr>
      <w:r>
        <w:t>Slide 5 · Recommendation flow · 1:20</w:t>
      </w:r>
    </w:p>
    <w:p>
      <w:pPr/>
      <w:r>
        <w:rPr>
          <w:rFonts w:ascii="Calibri" w:hAnsi="Calibri"/>
          <w:b w:val="0"/>
          <w:i w:val="0"/>
          <w:color w:val="1F2933"/>
          <w:sz w:val="22"/>
        </w:rPr>
        <w:t>The sequence is the key design decision. Inputs are validated, then SQL applies a four-level fallback chain: exact preferences, relaxed funding, country and academic thresholds, and finally a fully funded level-based fallback. Distance-weighted kNN ranks only the remaining candidates. The interface returns up to three unique scholarships with visible scores. Gemini explanations are optional, so the model never replaces explicit eligibility logic.</w:t>
      </w:r>
    </w:p>
    <w:p>
      <w:r>
        <w:br w:type="page"/>
      </w:r>
    </w:p>
    <w:p>
      <w:pPr>
        <w:pStyle w:val="Heading1"/>
        <w:keepNext/>
      </w:pPr>
      <w:r>
        <w:t>Rehearsal script · Slides 6–11</w:t>
      </w:r>
    </w:p>
    <w:p>
      <w:pPr>
        <w:pStyle w:val="Heading2"/>
        <w:keepNext/>
      </w:pPr>
      <w:r>
        <w:t>Slide 6 · Machine-learning pipelines · 1:20</w:t>
      </w:r>
    </w:p>
    <w:p>
      <w:pPr/>
      <w:r>
        <w:rPr>
          <w:rFonts w:ascii="Calibri" w:hAnsi="Calibri"/>
          <w:b w:val="0"/>
          <w:i w:val="0"/>
          <w:color w:val="1F2933"/>
          <w:sz w:val="22"/>
        </w:rPr>
        <w:t>The production pipeline treats recommendation as similarity ranking. It one-hot encodes categorical inputs, scales GPA and IELTS, and uses distance-weighted kNN with k equal to seven. Separately, I evaluated decision tree, random forest, and gradient boosting baselines. Those models answer a classification question, so their preprocessing and role differ from the deployed ranking pipeline.</w:t>
      </w:r>
    </w:p>
    <w:p>
      <w:pPr>
        <w:pStyle w:val="Heading2"/>
        <w:keepNext/>
      </w:pPr>
      <w:r>
        <w:t>Slide 7 · Evaluation · 1:25</w:t>
      </w:r>
    </w:p>
    <w:p>
      <w:pPr/>
      <w:r>
        <w:rPr>
          <w:rFonts w:ascii="Calibri" w:hAnsi="Calibri"/>
          <w:b w:val="0"/>
          <w:i w:val="0"/>
          <w:color w:val="1F2933"/>
          <w:sz w:val="22"/>
        </w:rPr>
        <w:t>I report Top-1 and Top-3 accuracy because the interface presents three recommendations. kNN achieved 54.35 percent Top-1 and 74.64 percent Top-3. Random forest achieved the best Top-3 result at 98.55 percent. However, accuracy is not the only selection criterion. The deployed task is profile-similarity ranking after rule-based filtering, where kNN is intuitive and directly produces distance-weighted class scores.</w:t>
      </w:r>
    </w:p>
    <w:p>
      <w:pPr>
        <w:pStyle w:val="Heading2"/>
        <w:keepNext/>
      </w:pPr>
      <w:r>
        <w:t>Slide 8 · Why kNN? · 1:15</w:t>
      </w:r>
    </w:p>
    <w:p>
      <w:pPr/>
      <w:r>
        <w:rPr>
          <w:rFonts w:ascii="Calibri" w:hAnsi="Calibri"/>
          <w:b w:val="0"/>
          <w:i w:val="0"/>
          <w:color w:val="1F2933"/>
          <w:sz w:val="22"/>
        </w:rPr>
        <w:t>The choice is deliberate. SQL handles deterministic eligibility. kNN orders eligible candidates by similarity. Keeping preprocessing and inference in one saved pipeline reduces training-serving mismatch. The displayed percentage is a relative model score for ranking, not a calibrated probability of eligibility and not the probability of receiving an award.</w:t>
      </w:r>
    </w:p>
    <w:p>
      <w:r>
        <w:br w:type="page"/>
      </w:r>
    </w:p>
    <w:p>
      <w:pPr>
        <w:pStyle w:val="Heading1"/>
        <w:keepNext/>
      </w:pPr>
      <w:r>
        <w:t>Rehearsal script · Slides 9–11</w:t>
      </w:r>
    </w:p>
    <w:p>
      <w:pPr>
        <w:pStyle w:val="Heading2"/>
        <w:keepNext/>
      </w:pPr>
      <w:r>
        <w:t>Slide 9 · Live demo · 1:35</w:t>
      </w:r>
    </w:p>
    <w:p>
      <w:pPr/>
      <w:r>
        <w:rPr>
          <w:rFonts w:ascii="Calibri" w:hAnsi="Calibri"/>
          <w:b w:val="0"/>
          <w:i w:val="0"/>
          <w:color w:val="1F2933"/>
          <w:sz w:val="22"/>
        </w:rPr>
        <w:t>For the demonstration, I will select Japan, postgraduate, fully funded, STEM, GPA 3.5, and IELTS 6.5. The deployment currently returns Joint Japan/World Bank first at 58.5 percent, followed by ADB–Japan at 9.4 percent and MEXT at 6.7 percent. I will show the score, scholarship details, official link, and optional explanation. The official provider site remains the source of truth.</w:t>
      </w:r>
    </w:p>
    <w:p>
      <w:pPr>
        <w:pStyle w:val="Heading2"/>
        <w:keepNext/>
      </w:pPr>
      <w:r>
        <w:t>Slide 10 · Limitations · 1:15</w:t>
      </w:r>
    </w:p>
    <w:p>
      <w:pPr/>
      <w:r>
        <w:rPr>
          <w:rFonts w:ascii="Calibri" w:hAnsi="Calibri"/>
          <w:b w:val="0"/>
          <w:i w:val="0"/>
          <w:color w:val="1F2933"/>
          <w:sz w:val="22"/>
        </w:rPr>
        <w:t>The system has limitations. Scholarship information can become outdated; three singleton scholarships are outside supervised training; scores are not calibrated probabilities; Gemini depends on an external service; and real applicant outcome data is limited. The application uses fallbacks, presents official links, and positions recommendations as decision support rather than automated decisions.</w:t>
      </w:r>
    </w:p>
    <w:p>
      <w:pPr>
        <w:pStyle w:val="Heading2"/>
        <w:keepNext/>
      </w:pPr>
      <w:r>
        <w:t>Slide 11 · Conclusion · 0:45</w:t>
      </w:r>
    </w:p>
    <w:p>
      <w:pPr/>
      <w:r>
        <w:rPr>
          <w:rFonts w:ascii="Calibri" w:hAnsi="Calibri"/>
          <w:b w:val="0"/>
          <w:i w:val="0"/>
          <w:color w:val="1F2933"/>
          <w:sz w:val="22"/>
        </w:rPr>
        <w:t>In conclusion, MM Scholar combines deterministic eligibility checks with machine-learning ranking to turn a scattered search into a transparent shortlist. The project contributes a structured dataset, an evaluated pipeline, and a deployable web application. Future work should automate data updates, calibrate scores, and evaluate recommendations against real student outcomes. Thank you. I welcome your questions.</w:t>
      </w:r>
    </w:p>
    <w:p>
      <w:r>
        <w:br w:type="page"/>
      </w:r>
    </w:p>
    <w:p>
      <w:pPr>
        <w:pStyle w:val="Heading1"/>
        <w:keepNext/>
      </w:pPr>
      <w:r>
        <w:t>Live-demo runbook</w:t>
      </w:r>
    </w:p>
    <w:p>
      <w:pPr>
        <w:pStyle w:val="Heading2"/>
        <w:keepNext/>
      </w:pPr>
      <w:r>
        <w:t>Prepared profile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F2933"/>
          <w:sz w:val="22"/>
        </w:rPr>
        <w:t>Japan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F2933"/>
          <w:sz w:val="22"/>
        </w:rPr>
        <w:t>Postgraduate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F2933"/>
          <w:sz w:val="22"/>
        </w:rPr>
        <w:t>Fully funded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F2933"/>
          <w:sz w:val="22"/>
        </w:rPr>
        <w:t>STEM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F2933"/>
          <w:sz w:val="22"/>
        </w:rPr>
        <w:t>GPA 3.5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F2933"/>
          <w:sz w:val="22"/>
        </w:rPr>
        <w:t>IELTS 6.5</w:t>
      </w:r>
    </w:p>
    <w:p>
      <w:pPr>
        <w:pStyle w:val="Heading2"/>
        <w:keepNext/>
      </w:pPr>
      <w:r>
        <w:t>Expected result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F2933"/>
          <w:sz w:val="22"/>
        </w:rPr>
        <w:t>Joint Japan / World Bank — 58.5% relative match score.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F2933"/>
          <w:sz w:val="22"/>
        </w:rPr>
        <w:t>ADB–Japan Scholarship — 9.4% relative match score.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F2933"/>
          <w:sz w:val="22"/>
        </w:rPr>
        <w:t>MEXT Scholarship — 6.7% relative match score.</w:t>
      </w:r>
    </w:p>
    <w:p>
      <w:pPr>
        <w:pStyle w:val="Heading2"/>
        <w:keepNext/>
      </w:pPr>
      <w:r>
        <w:t>Click path and narration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F2933"/>
          <w:sz w:val="22"/>
        </w:rPr>
        <w:t>Open https://mm-scholar.onrender.com before the defense and keep the tab loaded.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F2933"/>
          <w:sz w:val="22"/>
        </w:rPr>
        <w:t>Enter the prepared profile without improvising values.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F2933"/>
          <w:sz w:val="22"/>
        </w:rPr>
        <w:t>Submit once; point first to result names and second to visible match scores.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F2933"/>
          <w:sz w:val="22"/>
        </w:rPr>
        <w:t>Open an official link only if the page responds quickly.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F2933"/>
          <w:sz w:val="22"/>
        </w:rPr>
        <w:t>Request Gemini explanation only if time and network are stable.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F2933"/>
          <w:sz w:val="22"/>
        </w:rPr>
        <w:t>Close with: “The score ranks relative fit; verify requirements on the official site.”</w:t>
      </w:r>
    </w:p>
    <w:p>
      <w:pPr>
        <w:pStyle w:val="Heading2"/>
        <w:keepNext/>
      </w:pPr>
      <w:r>
        <w:t>Recovery lines</w:t>
      </w:r>
    </w:p>
    <w:p>
      <w:pPr>
        <w:keepLines/>
        <w:spacing w:before="120" w:after="200"/>
        <w:ind w:left="173" w:right="115"/>
        <w:shd w:fill="F4F6F9"/>
        <w:pBdr>
          <w:left w:val="single" w:sz="18" w:space="8" w:color="9B1C1C"/>
        </w:pBdr>
      </w:pPr>
      <w:r>
        <w:rPr>
          <w:rFonts w:ascii="Calibri" w:hAnsi="Calibri"/>
          <w:b/>
          <w:i w:val="0"/>
          <w:color w:val="9B1C1C"/>
          <w:sz w:val="20"/>
        </w:rPr>
        <w:t xml:space="preserve">APPLICATION IS SLOW  </w:t>
      </w:r>
      <w:r>
        <w:rPr>
          <w:rFonts w:ascii="Calibri" w:hAnsi="Calibri"/>
          <w:b w:val="0"/>
          <w:i w:val="0"/>
          <w:color w:val="1F2933"/>
          <w:sz w:val="21"/>
        </w:rPr>
        <w:t>“The free deployment may be waking from idle. I will continue with the verified fallback result on Slide 9.”</w:t>
      </w:r>
    </w:p>
    <w:p>
      <w:pPr>
        <w:keepLines/>
        <w:spacing w:before="120" w:after="200"/>
        <w:ind w:left="173" w:right="115"/>
        <w:shd w:fill="F4F6F9"/>
        <w:pBdr>
          <w:left w:val="single" w:sz="18" w:space="8" w:color="9B1C1C"/>
        </w:pBdr>
      </w:pPr>
      <w:r>
        <w:rPr>
          <w:rFonts w:ascii="Calibri" w:hAnsi="Calibri"/>
          <w:b/>
          <w:i w:val="0"/>
          <w:color w:val="9B1C1C"/>
          <w:sz w:val="20"/>
        </w:rPr>
        <w:t xml:space="preserve">GEMINI FAILS  </w:t>
      </w:r>
      <w:r>
        <w:rPr>
          <w:rFonts w:ascii="Calibri" w:hAnsi="Calibri"/>
          <w:b w:val="0"/>
          <w:i w:val="0"/>
          <w:color w:val="1F2933"/>
          <w:sz w:val="21"/>
        </w:rPr>
        <w:t>“The explanation is optional. Core recommendations and scores are produced by the validated local pipeline.”</w:t>
      </w:r>
    </w:p>
    <w:p>
      <w:pPr>
        <w:keepLines/>
        <w:spacing w:before="120" w:after="200"/>
        <w:ind w:left="173" w:right="115"/>
        <w:shd w:fill="F4F6F9"/>
        <w:pBdr>
          <w:left w:val="single" w:sz="18" w:space="8" w:color="9B1C1C"/>
        </w:pBdr>
      </w:pPr>
      <w:r>
        <w:rPr>
          <w:rFonts w:ascii="Calibri" w:hAnsi="Calibri"/>
          <w:b/>
          <w:i w:val="0"/>
          <w:color w:val="9B1C1C"/>
          <w:sz w:val="20"/>
        </w:rPr>
        <w:t xml:space="preserve">NO NETWORK  </w:t>
      </w:r>
      <w:r>
        <w:rPr>
          <w:rFonts w:ascii="Calibri" w:hAnsi="Calibri"/>
          <w:b w:val="0"/>
          <w:i w:val="0"/>
          <w:color w:val="1F2933"/>
          <w:sz w:val="21"/>
        </w:rPr>
        <w:t>Use Slide 9; it contains the prepared profile and verified results.</w:t>
      </w:r>
    </w:p>
    <w:p>
      <w:r>
        <w:br w:type="page"/>
      </w:r>
    </w:p>
    <w:p>
      <w:pPr>
        <w:pStyle w:val="Heading1"/>
        <w:keepNext/>
      </w:pPr>
      <w:r>
        <w:t>Examiner questions · Method and model</w:t>
      </w:r>
    </w:p>
    <w:p>
      <w:pPr>
        <w:pStyle w:val="Heading3"/>
        <w:keepNext/>
      </w:pPr>
      <w:r>
        <w:t>1. Why did you choose kNN for production?</w:t>
      </w:r>
    </w:p>
    <w:p>
      <w:pPr/>
      <w:r>
        <w:rPr>
          <w:rFonts w:ascii="Calibri" w:hAnsi="Calibri"/>
          <w:b/>
          <w:i w:val="0"/>
          <w:color w:val="1F2933"/>
          <w:sz w:val="22"/>
        </w:rPr>
        <w:t xml:space="preserve">Answer: </w:t>
      </w:r>
      <w:r>
        <w:rPr>
          <w:rFonts w:ascii="Calibri" w:hAnsi="Calibri"/>
          <w:b w:val="0"/>
          <w:i w:val="0"/>
          <w:color w:val="1F2933"/>
          <w:sz w:val="22"/>
        </w:rPr>
        <w:t>The production task is ranking profiles by similarity after SQL has filtered eligibility. Distance-weighted kNN fits that purpose naturally, remains easy to explain, and produces relative class scores for ordering candidates.</w:t>
      </w:r>
    </w:p>
    <w:p>
      <w:pPr/>
      <w:r>
        <w:rPr>
          <w:rFonts w:ascii="Calibri" w:hAnsi="Calibri"/>
          <w:b/>
          <w:i w:val="0"/>
          <w:color w:val="1F2933"/>
          <w:sz w:val="22"/>
        </w:rPr>
        <w:t xml:space="preserve">If challenged: </w:t>
      </w:r>
      <w:r>
        <w:rPr>
          <w:rFonts w:ascii="Calibri" w:hAnsi="Calibri"/>
          <w:b w:val="0"/>
          <w:i/>
          <w:color w:val="1F2933"/>
          <w:sz w:val="22"/>
        </w:rPr>
        <w:t>The tree ensembles are classification baselines; higher classification accuracy does not automatically make them the best fit for the deployed ranking workflow.</w:t>
      </w:r>
    </w:p>
    <w:p>
      <w:pPr>
        <w:pStyle w:val="Heading3"/>
        <w:keepNext/>
      </w:pPr>
      <w:r>
        <w:t>2. Why is kNN Top-1 accuracy lower?</w:t>
      </w:r>
    </w:p>
    <w:p>
      <w:pPr/>
      <w:r>
        <w:rPr>
          <w:rFonts w:ascii="Calibri" w:hAnsi="Calibri"/>
          <w:b/>
          <w:i w:val="0"/>
          <w:color w:val="1F2933"/>
          <w:sz w:val="22"/>
        </w:rPr>
        <w:t xml:space="preserve">Answer: </w:t>
      </w:r>
      <w:r>
        <w:rPr>
          <w:rFonts w:ascii="Calibri" w:hAnsi="Calibri"/>
          <w:b w:val="0"/>
          <w:i w:val="0"/>
          <w:color w:val="1F2933"/>
          <w:sz w:val="22"/>
        </w:rPr>
        <w:t>Many scholarship classes have overlapping eligibility profiles. kNN is sensitive to local neighborhoods, while tree ensembles can create more complex class boundaries. The product presents a shortlist, so Top-3 is more representative than Top-1 alone.</w:t>
      </w:r>
    </w:p>
    <w:p>
      <w:pPr>
        <w:pStyle w:val="Heading3"/>
        <w:keepNext/>
      </w:pPr>
      <w:r>
        <w:t>3. Is the match score a probability?</w:t>
      </w:r>
    </w:p>
    <w:p>
      <w:pPr/>
      <w:r>
        <w:rPr>
          <w:rFonts w:ascii="Calibri" w:hAnsi="Calibri"/>
          <w:b/>
          <w:i w:val="0"/>
          <w:color w:val="1F2933"/>
          <w:sz w:val="22"/>
        </w:rPr>
        <w:t xml:space="preserve">Answer: </w:t>
      </w:r>
      <w:r>
        <w:rPr>
          <w:rFonts w:ascii="Calibri" w:hAnsi="Calibri"/>
          <w:b w:val="0"/>
          <w:i w:val="0"/>
          <w:color w:val="1F2933"/>
          <w:sz w:val="22"/>
        </w:rPr>
        <w:t>No. It is a distance-weighted class score returned by predict_proba and used for relative ranking. It is not calibrated as an eligibility probability or award probability.</w:t>
      </w:r>
    </w:p>
    <w:p>
      <w:pPr>
        <w:pStyle w:val="Heading3"/>
        <w:keepNext/>
      </w:pPr>
      <w:r>
        <w:t>4. Why use SQL before machine learning?</w:t>
      </w:r>
    </w:p>
    <w:p>
      <w:pPr/>
      <w:r>
        <w:rPr>
          <w:rFonts w:ascii="Calibri" w:hAnsi="Calibri"/>
          <w:b/>
          <w:i w:val="0"/>
          <w:color w:val="1F2933"/>
          <w:sz w:val="22"/>
        </w:rPr>
        <w:t xml:space="preserve">Answer: </w:t>
      </w:r>
      <w:r>
        <w:rPr>
          <w:rFonts w:ascii="Calibri" w:hAnsi="Calibri"/>
          <w:b w:val="0"/>
          <w:i w:val="0"/>
          <w:color w:val="1F2933"/>
          <w:sz w:val="22"/>
        </w:rPr>
        <w:t>Country, level, funding, field, GPA, and IELTS thresholds are explicit rules. Applying them deterministically reduces invalid recommendations and lets the model focus on ranking relevant candidates.</w:t>
      </w:r>
    </w:p>
    <w:p>
      <w:pPr>
        <w:pStyle w:val="Heading3"/>
        <w:keepNext/>
      </w:pPr>
      <w:r>
        <w:t>5. Why use a four-level fallback chain?</w:t>
      </w:r>
    </w:p>
    <w:p>
      <w:pPr/>
      <w:r>
        <w:rPr>
          <w:rFonts w:ascii="Calibri" w:hAnsi="Calibri"/>
          <w:b/>
          <w:i w:val="0"/>
          <w:color w:val="1F2933"/>
          <w:sz w:val="22"/>
        </w:rPr>
        <w:t xml:space="preserve">Answer: </w:t>
      </w:r>
      <w:r>
        <w:rPr>
          <w:rFonts w:ascii="Calibri" w:hAnsi="Calibri"/>
          <w:b w:val="0"/>
          <w:i w:val="0"/>
          <w:color w:val="1F2933"/>
          <w:sz w:val="22"/>
        </w:rPr>
        <w:t>An exact query may return no candidates. The chain relaxes preferences in a controlled order while preserving academic thresholds, so the system stays useful without silently ignoring all constraints.</w:t>
      </w:r>
    </w:p>
    <w:p>
      <w:pPr>
        <w:pStyle w:val="Heading3"/>
        <w:keepNext/>
      </w:pPr>
      <w:r>
        <w:t>6. Why are only 84 of 87 scholarships modeled?</w:t>
      </w:r>
    </w:p>
    <w:p>
      <w:pPr/>
      <w:r>
        <w:rPr>
          <w:rFonts w:ascii="Calibri" w:hAnsi="Calibri"/>
          <w:b/>
          <w:i w:val="0"/>
          <w:color w:val="1F2933"/>
          <w:sz w:val="22"/>
        </w:rPr>
        <w:t xml:space="preserve">Answer: </w:t>
      </w:r>
      <w:r>
        <w:rPr>
          <w:rFonts w:ascii="Calibri" w:hAnsi="Calibri"/>
          <w:b w:val="0"/>
          <w:i w:val="0"/>
          <w:color w:val="1F2933"/>
          <w:sz w:val="22"/>
        </w:rPr>
        <w:t>Three scholarships have only one eligibility row. Stratified splitting requires more than one sample per class, so they are excluded from supervised training but remain visible in the searchable catalogue.</w:t>
      </w:r>
    </w:p>
    <w:p>
      <w:pPr>
        <w:pStyle w:val="Heading3"/>
        <w:keepNext/>
      </w:pPr>
      <w:r>
        <w:t>7. How was the data split?</w:t>
      </w:r>
    </w:p>
    <w:p>
      <w:pPr/>
      <w:r>
        <w:rPr>
          <w:rFonts w:ascii="Calibri" w:hAnsi="Calibri"/>
          <w:b/>
          <w:i w:val="0"/>
          <w:color w:val="1F2933"/>
          <w:sz w:val="22"/>
        </w:rPr>
        <w:t xml:space="preserve">Answer: </w:t>
      </w:r>
      <w:r>
        <w:rPr>
          <w:rFonts w:ascii="Calibri" w:hAnsi="Calibri"/>
          <w:b w:val="0"/>
          <w:i w:val="0"/>
          <w:color w:val="1F2933"/>
          <w:sz w:val="22"/>
        </w:rPr>
        <w:t>Modeled classes were split 80/20 with random_state 42 and stratification by scholarship class, preserving class representation across train and test sets.</w:t>
      </w:r>
    </w:p>
    <w:p>
      <w:r>
        <w:br w:type="page"/>
      </w:r>
    </w:p>
    <w:p>
      <w:pPr>
        <w:pStyle w:val="Heading1"/>
        <w:keepNext/>
      </w:pPr>
      <w:r>
        <w:t>Examiner questions · Model and architecture</w:t>
      </w:r>
    </w:p>
    <w:p>
      <w:pPr>
        <w:pStyle w:val="Heading3"/>
        <w:keepNext/>
      </w:pPr>
      <w:r>
        <w:t>8. How was k selected?</w:t>
      </w:r>
    </w:p>
    <w:p>
      <w:pPr/>
      <w:r>
        <w:rPr>
          <w:rFonts w:ascii="Calibri" w:hAnsi="Calibri"/>
          <w:b/>
          <w:i w:val="0"/>
          <w:color w:val="1F2933"/>
          <w:sz w:val="22"/>
        </w:rPr>
        <w:t xml:space="preserve">Answer: </w:t>
      </w:r>
      <w:r>
        <w:rPr>
          <w:rFonts w:ascii="Calibri" w:hAnsi="Calibri"/>
          <w:b w:val="0"/>
          <w:i w:val="0"/>
          <w:color w:val="1F2933"/>
          <w:sz w:val="22"/>
        </w:rPr>
        <w:t>Grid search evaluated k values 3, 5, 7, 9, 11, and 15 with distance weighting. The saved production model uses k equal to seven.</w:t>
      </w:r>
    </w:p>
    <w:p>
      <w:pPr>
        <w:pStyle w:val="Heading3"/>
        <w:keepNext/>
      </w:pPr>
      <w:r>
        <w:t>9. Why report Top-3 accuracy?</w:t>
      </w:r>
    </w:p>
    <w:p>
      <w:pPr/>
      <w:r>
        <w:rPr>
          <w:rFonts w:ascii="Calibri" w:hAnsi="Calibri"/>
          <w:b/>
          <w:i w:val="0"/>
          <w:color w:val="1F2933"/>
          <w:sz w:val="22"/>
        </w:rPr>
        <w:t xml:space="preserve">Answer: </w:t>
      </w:r>
      <w:r>
        <w:rPr>
          <w:rFonts w:ascii="Calibri" w:hAnsi="Calibri"/>
          <w:b w:val="0"/>
          <w:i w:val="0"/>
          <w:color w:val="1F2933"/>
          <w:sz w:val="22"/>
        </w:rPr>
        <w:t>The interface returns up to three recommendations. Top-3 tests whether the expected scholarship appears anywhere in that shortlist and therefore better matches product behavior.</w:t>
      </w:r>
    </w:p>
    <w:p>
      <w:pPr>
        <w:pStyle w:val="Heading3"/>
        <w:keepNext/>
      </w:pPr>
      <w:r>
        <w:t>10. What does feature importance mean?</w:t>
      </w:r>
    </w:p>
    <w:p>
      <w:pPr/>
      <w:r>
        <w:rPr>
          <w:rFonts w:ascii="Calibri" w:hAnsi="Calibri"/>
          <w:b/>
          <w:i w:val="0"/>
          <w:color w:val="1F2933"/>
          <w:sz w:val="22"/>
        </w:rPr>
        <w:t xml:space="preserve">Answer: </w:t>
      </w:r>
      <w:r>
        <w:rPr>
          <w:rFonts w:ascii="Calibri" w:hAnsi="Calibri"/>
          <w:b w:val="0"/>
          <w:i w:val="0"/>
          <w:color w:val="1F2933"/>
          <w:sz w:val="22"/>
        </w:rPr>
        <w:t>Random Forest mean decrease in impurity ranks country first at about 0.372, followed by GPA, IELTS, and level. It describes that baseline; it is not causal and does not explain kNN.</w:t>
      </w:r>
    </w:p>
    <w:p>
      <w:pPr>
        <w:pStyle w:val="Heading3"/>
        <w:keepNext/>
      </w:pPr>
      <w:r>
        <w:t>11. Why Flask?</w:t>
      </w:r>
    </w:p>
    <w:p>
      <w:pPr/>
      <w:r>
        <w:rPr>
          <w:rFonts w:ascii="Calibri" w:hAnsi="Calibri"/>
          <w:b/>
          <w:i w:val="0"/>
          <w:color w:val="1F2933"/>
          <w:sz w:val="22"/>
        </w:rPr>
        <w:t xml:space="preserve">Answer: </w:t>
      </w:r>
      <w:r>
        <w:rPr>
          <w:rFonts w:ascii="Calibri" w:hAnsi="Calibri"/>
          <w:b w:val="0"/>
          <w:i w:val="0"/>
          <w:color w:val="1F2933"/>
          <w:sz w:val="22"/>
        </w:rPr>
        <w:t>Flask is lightweight, fits a focused server-rendered application, supports clean route-service-repository separation, and deploys easily with Gunicorn on Render.</w:t>
      </w:r>
    </w:p>
    <w:p>
      <w:pPr>
        <w:pStyle w:val="Heading3"/>
        <w:keepNext/>
      </w:pPr>
      <w:r>
        <w:t>12. Why SQLite and PostgreSQL?</w:t>
      </w:r>
    </w:p>
    <w:p>
      <w:pPr/>
      <w:r>
        <w:rPr>
          <w:rFonts w:ascii="Calibri" w:hAnsi="Calibri"/>
          <w:b/>
          <w:i w:val="0"/>
          <w:color w:val="1F2933"/>
          <w:sz w:val="22"/>
        </w:rPr>
        <w:t xml:space="preserve">Answer: </w:t>
      </w:r>
      <w:r>
        <w:rPr>
          <w:rFonts w:ascii="Calibri" w:hAnsi="Calibri"/>
          <w:b w:val="0"/>
          <w:i w:val="0"/>
          <w:color w:val="1F2933"/>
          <w:sz w:val="22"/>
        </w:rPr>
        <w:t>The scholarship catalogue is compact and read-heavy, so SQLite is sufficient. Feedback uses SQLite locally and may use PostgreSQL in deployment for a persistent multi-user environment.</w:t>
      </w:r>
    </w:p>
    <w:p>
      <w:pPr>
        <w:pStyle w:val="Heading3"/>
        <w:keepNext/>
      </w:pPr>
      <w:r>
        <w:t>13. What if model scoring fails?</w:t>
      </w:r>
    </w:p>
    <w:p>
      <w:pPr/>
      <w:r>
        <w:rPr>
          <w:rFonts w:ascii="Calibri" w:hAnsi="Calibri"/>
          <w:b/>
          <w:i w:val="0"/>
          <w:color w:val="1F2933"/>
          <w:sz w:val="22"/>
        </w:rPr>
        <w:t xml:space="preserve">Answer: </w:t>
      </w:r>
      <w:r>
        <w:rPr>
          <w:rFonts w:ascii="Calibri" w:hAnsi="Calibri"/>
          <w:b w:val="0"/>
          <w:i w:val="0"/>
          <w:color w:val="1F2933"/>
          <w:sz w:val="22"/>
        </w:rPr>
        <w:t>The service catches prediction failures and returns up to three unique filtered candidates without fabricated scores. match_pct becomes None rather than a misleading zero.</w:t>
      </w:r>
    </w:p>
    <w:p>
      <w:r>
        <w:br w:type="page"/>
      </w:r>
    </w:p>
    <w:p>
      <w:pPr>
        <w:pStyle w:val="Heading1"/>
        <w:keepNext/>
      </w:pPr>
      <w:r>
        <w:t>Examiner questions · Reliability and future work</w:t>
      </w:r>
    </w:p>
    <w:p>
      <w:pPr>
        <w:pStyle w:val="Heading3"/>
        <w:keepNext/>
      </w:pPr>
      <w:r>
        <w:t>14. What if Gemini fails?</w:t>
      </w:r>
    </w:p>
    <w:p>
      <w:pPr/>
      <w:r>
        <w:rPr>
          <w:rFonts w:ascii="Calibri" w:hAnsi="Calibri"/>
          <w:b/>
          <w:i w:val="0"/>
          <w:color w:val="1F2933"/>
          <w:sz w:val="22"/>
        </w:rPr>
        <w:t xml:space="preserve">Answer: </w:t>
      </w:r>
      <w:r>
        <w:rPr>
          <w:rFonts w:ascii="Calibri" w:hAnsi="Calibri"/>
          <w:b w:val="0"/>
          <w:i w:val="0"/>
          <w:color w:val="1F2933"/>
          <w:sz w:val="22"/>
        </w:rPr>
        <w:t>Gemini is optional and outside the core ranking path. A fallback response is provided while recommendations, scores, details, and official links continue to work.</w:t>
      </w:r>
    </w:p>
    <w:p>
      <w:pPr>
        <w:pStyle w:val="Heading3"/>
        <w:keepNext/>
      </w:pPr>
      <w:r>
        <w:t>15. How did you test the system?</w:t>
      </w:r>
    </w:p>
    <w:p>
      <w:pPr/>
      <w:r>
        <w:rPr>
          <w:rFonts w:ascii="Calibri" w:hAnsi="Calibri"/>
          <w:b/>
          <w:i w:val="0"/>
          <w:color w:val="1F2933"/>
          <w:sz w:val="22"/>
        </w:rPr>
        <w:t xml:space="preserve">Answer: </w:t>
      </w:r>
      <w:r>
        <w:rPr>
          <w:rFonts w:ascii="Calibri" w:hAnsi="Calibri"/>
          <w:b w:val="0"/>
          <w:i w:val="0"/>
          <w:color w:val="1F2933"/>
          <w:sz w:val="22"/>
        </w:rPr>
        <w:t>The project has 86 automated checks covering artifacts, configuration, validation, recommendations, routes, repositories, feedback, and health behavior. The latest run passed all 86.</w:t>
      </w:r>
    </w:p>
    <w:p>
      <w:pPr>
        <w:pStyle w:val="Heading3"/>
        <w:keepNext/>
      </w:pPr>
      <w:r>
        <w:t>16. What is the biggest validity threat?</w:t>
      </w:r>
    </w:p>
    <w:p>
      <w:pPr/>
      <w:r>
        <w:rPr>
          <w:rFonts w:ascii="Calibri" w:hAnsi="Calibri"/>
          <w:b/>
          <w:i w:val="0"/>
          <w:color w:val="1F2933"/>
          <w:sz w:val="22"/>
        </w:rPr>
        <w:t xml:space="preserve">Answer: </w:t>
      </w:r>
      <w:r>
        <w:rPr>
          <w:rFonts w:ascii="Calibri" w:hAnsi="Calibri"/>
          <w:b w:val="0"/>
          <w:i w:val="0"/>
          <w:color w:val="1F2933"/>
          <w:sz w:val="22"/>
        </w:rPr>
        <w:t>The dataset is curated and relatively small, and multiple rows may represent one scholarship. Strong test metrics do not prove real-world success without external outcome data.</w:t>
      </w:r>
    </w:p>
    <w:p>
      <w:pPr>
        <w:pStyle w:val="Heading3"/>
        <w:keepNext/>
      </w:pPr>
      <w:r>
        <w:t>17. How do you address stale data?</w:t>
      </w:r>
    </w:p>
    <w:p>
      <w:pPr/>
      <w:r>
        <w:rPr>
          <w:rFonts w:ascii="Calibri" w:hAnsi="Calibri"/>
          <w:b/>
          <w:i w:val="0"/>
          <w:color w:val="1F2933"/>
          <w:sz w:val="22"/>
        </w:rPr>
        <w:t xml:space="preserve">Answer: </w:t>
      </w:r>
      <w:r>
        <w:rPr>
          <w:rFonts w:ascii="Calibri" w:hAnsi="Calibri"/>
          <w:b w:val="0"/>
          <w:i w:val="0"/>
          <w:color w:val="1F2933"/>
          <w:sz w:val="22"/>
        </w:rPr>
        <w:t>The interface provides official links and tells students to verify current requirements. Future work should add automated refresh jobs, update timestamps, and source-change detection.</w:t>
      </w:r>
    </w:p>
    <w:p>
      <w:pPr>
        <w:pStyle w:val="Heading3"/>
        <w:keepNext/>
      </w:pPr>
      <w:r>
        <w:t>18. Does the system make admission decisions?</w:t>
      </w:r>
    </w:p>
    <w:p>
      <w:pPr/>
      <w:r>
        <w:rPr>
          <w:rFonts w:ascii="Calibri" w:hAnsi="Calibri"/>
          <w:b/>
          <w:i w:val="0"/>
          <w:color w:val="1F2933"/>
          <w:sz w:val="22"/>
        </w:rPr>
        <w:t xml:space="preserve">Answer: </w:t>
      </w:r>
      <w:r>
        <w:rPr>
          <w:rFonts w:ascii="Calibri" w:hAnsi="Calibri"/>
          <w:b w:val="0"/>
          <w:i w:val="0"/>
          <w:color w:val="1F2933"/>
          <w:sz w:val="22"/>
        </w:rPr>
        <w:t>No. It is a discovery and ranking tool. Scholarship providers make eligibility and award decisions, and students must verify requirements through official sources.</w:t>
      </w:r>
    </w:p>
    <w:p>
      <w:pPr>
        <w:pStyle w:val="Heading3"/>
        <w:keepNext/>
      </w:pPr>
      <w:r>
        <w:t>19. What would you improve first?</w:t>
      </w:r>
    </w:p>
    <w:p>
      <w:pPr/>
      <w:r>
        <w:rPr>
          <w:rFonts w:ascii="Calibri" w:hAnsi="Calibri"/>
          <w:b/>
          <w:i w:val="0"/>
          <w:color w:val="1F2933"/>
          <w:sz w:val="22"/>
        </w:rPr>
        <w:t xml:space="preserve">Answer: </w:t>
      </w:r>
      <w:r>
        <w:rPr>
          <w:rFonts w:ascii="Calibri" w:hAnsi="Calibri"/>
          <w:b w:val="0"/>
          <w:i w:val="0"/>
          <w:color w:val="1F2933"/>
          <w:sz w:val="22"/>
        </w:rPr>
        <w:t>Automate catalogue updates, collect real user outcomes, calibrate the score, and compare learning-to-rank approaches against the hybrid baseline.</w:t>
      </w:r>
    </w:p>
    <w:p>
      <w:pPr>
        <w:pStyle w:val="Heading3"/>
        <w:keepNext/>
      </w:pPr>
      <w:r>
        <w:t>20. What is your main contribution?</w:t>
      </w:r>
    </w:p>
    <w:p>
      <w:pPr/>
      <w:r>
        <w:rPr>
          <w:rFonts w:ascii="Calibri" w:hAnsi="Calibri"/>
          <w:b/>
          <w:i w:val="0"/>
          <w:color w:val="1F2933"/>
          <w:sz w:val="22"/>
        </w:rPr>
        <w:t xml:space="preserve">Answer: </w:t>
      </w:r>
      <w:r>
        <w:rPr>
          <w:rFonts w:ascii="Calibri" w:hAnsi="Calibri"/>
          <w:b w:val="0"/>
          <w:i w:val="0"/>
          <w:color w:val="1F2933"/>
          <w:sz w:val="22"/>
        </w:rPr>
        <w:t>An end-to-end deployable hybrid system: a structured dataset, explicit eligibility filtering, evaluated machine-learning ranking, transparent scores, and optional explanation support.</w:t>
      </w:r>
    </w:p>
    <w:p>
      <w:r>
        <w:br w:type="page"/>
      </w:r>
    </w:p>
    <w:p>
      <w:pPr>
        <w:pStyle w:val="Heading1"/>
        <w:keepNext/>
      </w:pPr>
      <w:r>
        <w:t>Final rehearsal checklist</w:t>
      </w:r>
    </w:p>
    <w:p>
      <w:pPr>
        <w:pStyle w:val="Heading2"/>
        <w:keepNext/>
      </w:pPr>
      <w:r>
        <w:t>One week before</w:t>
      </w:r>
    </w:p>
    <w:p>
      <w:pPr>
        <w:numPr>
          <w:ilvl w:val="0"/>
          <w:numId w:val="11"/>
        </w:numPr>
      </w:pPr>
      <w:r>
        <w:rPr>
          <w:rFonts w:ascii="Calibri" w:hAnsi="Calibri"/>
          <w:b w:val="0"/>
          <w:i w:val="0"/>
          <w:color w:val="1F2933"/>
          <w:sz w:val="22"/>
        </w:rPr>
        <w:t>Run the complete automated test suite and save the passing count.</w:t>
      </w:r>
    </w:p>
    <w:p>
      <w:pPr>
        <w:numPr>
          <w:ilvl w:val="0"/>
          <w:numId w:val="11"/>
        </w:numPr>
      </w:pPr>
      <w:r>
        <w:rPr>
          <w:rFonts w:ascii="Calibri" w:hAnsi="Calibri"/>
          <w:b w:val="0"/>
          <w:i w:val="0"/>
          <w:color w:val="1F2933"/>
          <w:sz w:val="22"/>
        </w:rPr>
        <w:t>Open every official link used in the demo.</w:t>
      </w:r>
    </w:p>
    <w:p>
      <w:pPr>
        <w:numPr>
          <w:ilvl w:val="0"/>
          <w:numId w:val="11"/>
        </w:numPr>
      </w:pPr>
      <w:r>
        <w:rPr>
          <w:rFonts w:ascii="Calibri" w:hAnsi="Calibri"/>
          <w:b w:val="0"/>
          <w:i w:val="0"/>
          <w:color w:val="1F2933"/>
          <w:sz w:val="22"/>
        </w:rPr>
        <w:t>Confirm the deployed health endpoint and scholarship count.</w:t>
      </w:r>
    </w:p>
    <w:p>
      <w:pPr>
        <w:numPr>
          <w:ilvl w:val="0"/>
          <w:numId w:val="11"/>
        </w:numPr>
      </w:pPr>
      <w:r>
        <w:rPr>
          <w:rFonts w:ascii="Calibri" w:hAnsi="Calibri"/>
          <w:b w:val="0"/>
          <w:i w:val="0"/>
          <w:color w:val="1F2933"/>
          <w:sz w:val="22"/>
        </w:rPr>
        <w:t>Practice once with a stopwatch and once while recording your voice.</w:t>
      </w:r>
    </w:p>
    <w:p>
      <w:pPr>
        <w:pStyle w:val="Heading2"/>
        <w:keepNext/>
      </w:pPr>
      <w:r>
        <w:t>The day before</w:t>
      </w:r>
    </w:p>
    <w:p>
      <w:pPr>
        <w:numPr>
          <w:ilvl w:val="0"/>
          <w:numId w:val="11"/>
        </w:numPr>
      </w:pPr>
      <w:r>
        <w:rPr>
          <w:rFonts w:ascii="Calibri" w:hAnsi="Calibri"/>
          <w:b w:val="0"/>
          <w:i w:val="0"/>
          <w:color w:val="1F2933"/>
          <w:sz w:val="22"/>
        </w:rPr>
        <w:t>Export a PDF copy of the slides as a backup.</w:t>
      </w:r>
    </w:p>
    <w:p>
      <w:pPr>
        <w:numPr>
          <w:ilvl w:val="0"/>
          <w:numId w:val="11"/>
        </w:numPr>
      </w:pPr>
      <w:r>
        <w:rPr>
          <w:rFonts w:ascii="Calibri" w:hAnsi="Calibri"/>
          <w:b w:val="0"/>
          <w:i w:val="0"/>
          <w:color w:val="1F2933"/>
          <w:sz w:val="22"/>
        </w:rPr>
        <w:t>Save the PowerPoint, PDF, and this pack locally and in cloud storage.</w:t>
      </w:r>
    </w:p>
    <w:p>
      <w:pPr>
        <w:numPr>
          <w:ilvl w:val="0"/>
          <w:numId w:val="11"/>
        </w:numPr>
      </w:pPr>
      <w:r>
        <w:rPr>
          <w:rFonts w:ascii="Calibri" w:hAnsi="Calibri"/>
          <w:b w:val="0"/>
          <w:i w:val="0"/>
          <w:color w:val="1F2933"/>
          <w:sz w:val="22"/>
        </w:rPr>
        <w:t>Load the application once so the free deployment is warm.</w:t>
      </w:r>
    </w:p>
    <w:p>
      <w:pPr>
        <w:numPr>
          <w:ilvl w:val="0"/>
          <w:numId w:val="11"/>
        </w:numPr>
      </w:pPr>
      <w:r>
        <w:rPr>
          <w:rFonts w:ascii="Calibri" w:hAnsi="Calibri"/>
          <w:b w:val="0"/>
          <w:i w:val="0"/>
          <w:color w:val="1F2933"/>
          <w:sz w:val="22"/>
        </w:rPr>
        <w:t>Prepare a hotspot, charger, and paper copy of the demo profile.</w:t>
      </w:r>
    </w:p>
    <w:p>
      <w:pPr>
        <w:pStyle w:val="Heading2"/>
        <w:keepNext/>
      </w:pPr>
      <w:r>
        <w:t>Thirty minutes before</w:t>
      </w:r>
    </w:p>
    <w:p>
      <w:pPr>
        <w:numPr>
          <w:ilvl w:val="0"/>
          <w:numId w:val="11"/>
        </w:numPr>
      </w:pPr>
      <w:r>
        <w:rPr>
          <w:rFonts w:ascii="Calibri" w:hAnsi="Calibri"/>
          <w:b w:val="0"/>
          <w:i w:val="0"/>
          <w:color w:val="1F2933"/>
          <w:sz w:val="22"/>
        </w:rPr>
        <w:t>Check projector scaling and readability from the back of the room.</w:t>
      </w:r>
    </w:p>
    <w:p>
      <w:pPr>
        <w:numPr>
          <w:ilvl w:val="0"/>
          <w:numId w:val="11"/>
        </w:numPr>
      </w:pPr>
      <w:r>
        <w:rPr>
          <w:rFonts w:ascii="Calibri" w:hAnsi="Calibri"/>
          <w:b w:val="0"/>
          <w:i w:val="0"/>
          <w:color w:val="1F2933"/>
          <w:sz w:val="22"/>
        </w:rPr>
        <w:t>Open Presenter View and verify speaker notes.</w:t>
      </w:r>
    </w:p>
    <w:p>
      <w:pPr>
        <w:numPr>
          <w:ilvl w:val="0"/>
          <w:numId w:val="11"/>
        </w:numPr>
      </w:pPr>
      <w:r>
        <w:rPr>
          <w:rFonts w:ascii="Calibri" w:hAnsi="Calibri"/>
          <w:b w:val="0"/>
          <w:i w:val="0"/>
          <w:color w:val="1F2933"/>
          <w:sz w:val="22"/>
        </w:rPr>
        <w:t>Open the live site and Slide 9 fallback.</w:t>
      </w:r>
    </w:p>
    <w:p>
      <w:pPr>
        <w:numPr>
          <w:ilvl w:val="0"/>
          <w:numId w:val="11"/>
        </w:numPr>
      </w:pPr>
      <w:r>
        <w:rPr>
          <w:rFonts w:ascii="Calibri" w:hAnsi="Calibri"/>
          <w:b w:val="0"/>
          <w:i w:val="0"/>
          <w:color w:val="1F2933"/>
          <w:sz w:val="22"/>
        </w:rPr>
        <w:t>Close unrelated tabs and disable notifications.</w:t>
      </w:r>
    </w:p>
    <w:p>
      <w:pPr>
        <w:pStyle w:val="Heading2"/>
        <w:keepNext/>
      </w:pPr>
      <w:r>
        <w:t>Answering questions</w:t>
      </w:r>
    </w:p>
    <w:p>
      <w:pPr>
        <w:numPr>
          <w:ilvl w:val="0"/>
          <w:numId w:val="11"/>
        </w:numPr>
      </w:pPr>
      <w:r>
        <w:rPr>
          <w:rFonts w:ascii="Calibri" w:hAnsi="Calibri"/>
          <w:b w:val="0"/>
          <w:i w:val="0"/>
          <w:color w:val="1F2933"/>
          <w:sz w:val="22"/>
        </w:rPr>
        <w:t>Pause for one second before answering.</w:t>
      </w:r>
    </w:p>
    <w:p>
      <w:pPr>
        <w:numPr>
          <w:ilvl w:val="0"/>
          <w:numId w:val="11"/>
        </w:numPr>
      </w:pPr>
      <w:r>
        <w:rPr>
          <w:rFonts w:ascii="Calibri" w:hAnsi="Calibri"/>
          <w:b w:val="0"/>
          <w:i w:val="0"/>
          <w:color w:val="1F2933"/>
          <w:sz w:val="22"/>
        </w:rPr>
        <w:t>Lead with the direct answer, then give project evidence.</w:t>
      </w:r>
    </w:p>
    <w:p>
      <w:pPr>
        <w:numPr>
          <w:ilvl w:val="0"/>
          <w:numId w:val="11"/>
        </w:numPr>
      </w:pPr>
      <w:r>
        <w:rPr>
          <w:rFonts w:ascii="Calibri" w:hAnsi="Calibri"/>
          <w:b w:val="0"/>
          <w:i w:val="0"/>
          <w:color w:val="1F2933"/>
          <w:sz w:val="22"/>
        </w:rPr>
        <w:t>Correct false premises politely: “The score is relative, not calibrated.”</w:t>
      </w:r>
    </w:p>
    <w:p>
      <w:pPr>
        <w:numPr>
          <w:ilvl w:val="0"/>
          <w:numId w:val="11"/>
        </w:numPr>
      </w:pPr>
      <w:r>
        <w:rPr>
          <w:rFonts w:ascii="Calibri" w:hAnsi="Calibri"/>
          <w:b w:val="0"/>
          <w:i w:val="0"/>
          <w:color w:val="1F2933"/>
          <w:sz w:val="22"/>
        </w:rPr>
        <w:t>If you do not know, state the boundary and explain how you would test it.</w:t>
      </w:r>
    </w:p>
    <w:p>
      <w:pPr>
        <w:numPr>
          <w:ilvl w:val="0"/>
          <w:numId w:val="11"/>
        </w:numPr>
      </w:pPr>
      <w:r>
        <w:rPr>
          <w:rFonts w:ascii="Calibri" w:hAnsi="Calibri"/>
          <w:b w:val="0"/>
          <w:i w:val="0"/>
          <w:color w:val="1F2933"/>
          <w:sz w:val="22"/>
        </w:rPr>
        <w:t>Keep most answers under 45 seconds unless asked for detail.</w:t>
      </w:r>
    </w:p>
    <w:p>
      <w:pPr>
        <w:keepLines/>
        <w:spacing w:before="120" w:after="200"/>
        <w:ind w:left="173" w:right="115"/>
        <w:shd w:fill="F4F6F9"/>
        <w:pBdr>
          <w:left w:val="single" w:sz="18" w:space="8" w:color="2E74B5"/>
        </w:pBdr>
      </w:pPr>
      <w:r>
        <w:rPr>
          <w:rFonts w:ascii="Calibri" w:hAnsi="Calibri"/>
          <w:b/>
          <w:i w:val="0"/>
          <w:color w:val="2E74B5"/>
          <w:sz w:val="20"/>
        </w:rPr>
        <w:t xml:space="preserve">FINAL LINE  </w:t>
      </w:r>
      <w:r>
        <w:rPr>
          <w:rFonts w:ascii="Calibri" w:hAnsi="Calibri"/>
          <w:b w:val="0"/>
          <w:i w:val="0"/>
          <w:color w:val="1F2933"/>
          <w:sz w:val="21"/>
        </w:rPr>
        <w:t>“The key design choice is that explicit eligibility remains deterministic, while machine learning is used only to rank filtered candidates.”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667085"/>
        <w:sz w:val="18"/>
      </w:rPr>
      <w:t xml:space="preserve">MM Scholar · Defense Preparation   |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i w:val="0"/>
        <w:color w:val="667085"/>
        <w:sz w:val="18"/>
      </w:rPr>
      <w:t>MM SCHOLAR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ind w:left="270" w:hanging="270"/>
        <w:spacing w:after="80" w:line="30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☐"/>
      <w:lvlJc w:val="left"/>
      <w:pPr>
        <w:ind w:left="360" w:hanging="30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F29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MM Scholar Defense Preparation Pack</dc:title>
  <dc:subject>Thesis defense rehearsal script, Q&amp;A, and demo runbook</dc:subject>
  <dc:creator>Htet Arkar Linn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