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B06F" w14:textId="77777777" w:rsidR="006208BD" w:rsidRPr="006208BD" w:rsidRDefault="006208BD" w:rsidP="006208BD">
      <w:r w:rsidRPr="006208BD">
        <w:t>Data Architecture Case Study</w:t>
      </w:r>
    </w:p>
    <w:p w14:paraId="78BA5096" w14:textId="77777777" w:rsidR="006208BD" w:rsidRPr="006208BD" w:rsidRDefault="006208BD" w:rsidP="006208BD">
      <w:r w:rsidRPr="006208BD">
        <w:t>Let’s look at an example case study that shows how the Data Architecture is applied in a financial services industry.</w:t>
      </w:r>
    </w:p>
    <w:p w14:paraId="1EB28887" w14:textId="77777777" w:rsidR="006208BD" w:rsidRPr="006208BD" w:rsidRDefault="006208BD" w:rsidP="006208BD">
      <w:r w:rsidRPr="006208BD">
        <w:t>1. Customer 360 View</w:t>
      </w:r>
    </w:p>
    <w:p w14:paraId="422C5B2A" w14:textId="77777777" w:rsidR="006208BD" w:rsidRPr="006208BD" w:rsidRDefault="006208BD" w:rsidP="006208BD">
      <w:r w:rsidRPr="006208BD">
        <w:t>Customer 360 View is a common use case that you might see in many organisations. The purpose of this is to build a single view of a customer, their activities, and behaviour patterns across the company’s services so that it can offer personalised marketing recommendations to increase value per customer. Let’s start with the same business domains and see how this might work.</w:t>
      </w:r>
    </w:p>
    <w:p w14:paraId="3AB235F8" w14:textId="01202175" w:rsidR="006208BD" w:rsidRPr="006208BD" w:rsidRDefault="006208BD" w:rsidP="006208BD">
      <w:r w:rsidRPr="006208BD">
        <mc:AlternateContent>
          <mc:Choice Requires="wps">
            <w:drawing>
              <wp:inline distT="0" distB="0" distL="0" distR="0" wp14:anchorId="719BD5B0" wp14:editId="5762B755">
                <wp:extent cx="304800" cy="304800"/>
                <wp:effectExtent l="0" t="0" r="0" b="0"/>
                <wp:docPr id="833950224" name="Rectangle 2" descr="Business Domai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8E177" id="Rectangle 2" o:spid="_x0000_s1026" alt="Business Domai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CD5185" w14:textId="77777777" w:rsidR="006208BD" w:rsidRPr="006208BD" w:rsidRDefault="006208BD" w:rsidP="006208BD">
      <w:r w:rsidRPr="006208BD">
        <w:t>1.1. Data Integration</w:t>
      </w:r>
    </w:p>
    <w:p w14:paraId="1CBD40C6" w14:textId="77777777" w:rsidR="006208BD" w:rsidRPr="006208BD" w:rsidRDefault="006208BD" w:rsidP="006208BD">
      <w:r w:rsidRPr="006208BD">
        <w:t>Firstly, let’s look at the data these domains can produce and provide. Customer Operations can provide transaction history and account information. Additionally, they may provide customer interactions the business has through emails, phone calls and SMS. Web activity can be made available for analysing online journey. Product and Sales domains can provide product holdings as a reference dataset and products purchased/subscribed by each customer.</w:t>
      </w:r>
    </w:p>
    <w:p w14:paraId="236A9D29" w14:textId="77777777" w:rsidR="006208BD" w:rsidRPr="006208BD" w:rsidRDefault="006208BD" w:rsidP="006208BD">
      <w:r w:rsidRPr="006208BD">
        <w:t>All this data must be integrated together and matched to make sense of the entire activity and behaviour of customers. Data Integration is the process of pulling this data from various systems such as CRM systems, call centre interactions, and transactional systems. This would be carried out by the Data Engineering team into a data warehouse. The raw data from sources would be stored in a raw or staging area.</w:t>
      </w:r>
    </w:p>
    <w:p w14:paraId="4C1BEE55" w14:textId="77777777" w:rsidR="006208BD" w:rsidRPr="006208BD" w:rsidRDefault="006208BD" w:rsidP="006208BD">
      <w:r w:rsidRPr="006208BD">
        <w:t>1.2. Data Modelling</w:t>
      </w:r>
    </w:p>
    <w:p w14:paraId="669314CF" w14:textId="77777777" w:rsidR="006208BD" w:rsidRPr="006208BD" w:rsidRDefault="006208BD" w:rsidP="006208BD">
      <w:r w:rsidRPr="006208BD">
        <w:t>This raw data will be modelled into a dimensional model that defines each entity as a dimension, tracks the changes over time and generates the measures as fact tables. These measures might range from something like number of customers to defining count of products per customer and value provided by each customer to the organisation. This will also include important information on consent provided by each customer for marketing, analytics and communications preferences.</w:t>
      </w:r>
    </w:p>
    <w:p w14:paraId="3392328D" w14:textId="77777777" w:rsidR="006208BD" w:rsidRPr="006208BD" w:rsidRDefault="006208BD" w:rsidP="006208BD">
      <w:proofErr w:type="gramStart"/>
      <w:r w:rsidRPr="006208BD">
        <w:t>{::</w:t>
      </w:r>
      <w:proofErr w:type="gramEnd"/>
      <w:r w:rsidRPr="006208BD">
        <w:t>next}</w:t>
      </w:r>
    </w:p>
    <w:p w14:paraId="0AAA0D8A" w14:textId="77777777" w:rsidR="006208BD" w:rsidRPr="006208BD" w:rsidRDefault="006208BD" w:rsidP="006208BD">
      <w:r w:rsidRPr="006208BD">
        <w:t>1.3. Data Governance</w:t>
      </w:r>
    </w:p>
    <w:p w14:paraId="38D61118" w14:textId="77777777" w:rsidR="006208BD" w:rsidRPr="006208BD" w:rsidRDefault="006208BD" w:rsidP="006208BD">
      <w:r w:rsidRPr="006208BD">
        <w:t>Consent is a big focus of GDPR.</w:t>
      </w:r>
    </w:p>
    <w:p w14:paraId="075A94C6" w14:textId="77777777" w:rsidR="006208BD" w:rsidRPr="006208BD" w:rsidRDefault="006208BD" w:rsidP="006208BD">
      <w:r w:rsidRPr="006208BD">
        <w:t xml:space="preserve">GDPR is the General Data Protection Regulation introduced by the Information Commissions Office (ICO) and adopted by the UK under the label of “UK GDPR”. As an </w:t>
      </w:r>
      <w:r w:rsidRPr="006208BD">
        <w:lastRenderedPageBreak/>
        <w:t xml:space="preserve">FSI organisation, there will be other regulatory requirements from the FCA (Financial Conduct Authority) requiring sufficient audits, traceability and historical archives. This governance is critical to any business. Data governance teams along with the legal department are responsible for understanding and implementing these regulatory controls within the organisation. As such they may require that the data within the Data Warehouse be anonymised if a customer requests their data to be deleted as per GDPR rules. However, data backups may be kept </w:t>
      </w:r>
      <w:proofErr w:type="gramStart"/>
      <w:r w:rsidRPr="006208BD">
        <w:t>to be</w:t>
      </w:r>
      <w:proofErr w:type="gramEnd"/>
      <w:r w:rsidRPr="006208BD">
        <w:t xml:space="preserve"> compliant with FCA’s regulations.</w:t>
      </w:r>
    </w:p>
    <w:p w14:paraId="390A153F" w14:textId="77777777" w:rsidR="006208BD" w:rsidRPr="006208BD" w:rsidRDefault="006208BD" w:rsidP="006208BD">
      <w:r w:rsidRPr="006208BD">
        <w:t>Data Governance will also require the application of data quality rules. These will help determine bad data or incomplete data. Validation processes will be applied at data ingestion pipelines to ensure that only high-quality and usable data is modelled into the warehouse for analysis. Data expectations include schema validation and completeness checks.</w:t>
      </w:r>
    </w:p>
    <w:p w14:paraId="52DDD6E5" w14:textId="77777777" w:rsidR="006208BD" w:rsidRPr="006208BD" w:rsidRDefault="006208BD" w:rsidP="006208BD">
      <w:r w:rsidRPr="006208BD">
        <w:t>1.4. Data Cataloguing</w:t>
      </w:r>
    </w:p>
    <w:p w14:paraId="2389F432" w14:textId="77777777" w:rsidR="006208BD" w:rsidRPr="006208BD" w:rsidRDefault="006208BD" w:rsidP="006208BD">
      <w:r w:rsidRPr="006208BD">
        <w:t>Now that the multiple data sources are integrated and data is modelled for analysis, it is time to make it available for consumption. The data will be catalogued and documented on what attributes are available, what they mean, and link to the business glossary. This allows the data to be discovered by users and helps in the correct understanding of the meaning. Data cataloguing also helps in the governance of personally identifiable information (PII) and any other sensitive data such as location, medical information and any criminal conviction data that relates to the customer.</w:t>
      </w:r>
    </w:p>
    <w:p w14:paraId="7E69F64E" w14:textId="77777777" w:rsidR="006208BD" w:rsidRPr="006208BD" w:rsidRDefault="006208BD" w:rsidP="006208BD">
      <w:r w:rsidRPr="006208BD">
        <w:t>1.5. Data Security</w:t>
      </w:r>
    </w:p>
    <w:p w14:paraId="421B0DDD" w14:textId="77777777" w:rsidR="006208BD" w:rsidRPr="006208BD" w:rsidRDefault="006208BD" w:rsidP="006208BD">
      <w:r w:rsidRPr="006208BD">
        <w:t>To protect the data store systems, in many cases you will work with your organisation’s DevOps team to secure access by adding Single Sign-On (SSO), enabling encryption of data and defining access roles based on your data platform personas. This roles-based access control (RBAC) is a common mechanism to define access level per role and control the assignment of this to individuals. As Data Engineers, it is important to understand the access requirements of each role as this helps in implementing the principle of least privilege access. Further, the data model created will have attributes that can be widely accessible without approvals or contains sensitive PII data as per data governance policies. These attributes can be restricted for most roles and allow access to some elevated privileged roles. This might fall under Data Engineering or DevOps as per the organisation’s structure.</w:t>
      </w:r>
    </w:p>
    <w:p w14:paraId="22EFB71F" w14:textId="77777777" w:rsidR="006208BD" w:rsidRPr="006208BD" w:rsidRDefault="006208BD" w:rsidP="006208BD">
      <w:r w:rsidRPr="006208BD">
        <w:t>Additionally, tracking of access, changes to the data and decisions is also required for audit purposes.</w:t>
      </w:r>
    </w:p>
    <w:p w14:paraId="6150DFF3" w14:textId="77777777" w:rsidR="006208BD" w:rsidRPr="006208BD" w:rsidRDefault="006208BD" w:rsidP="006208BD">
      <w:r w:rsidRPr="006208BD">
        <w:t>1.6 SDLC</w:t>
      </w:r>
    </w:p>
    <w:p w14:paraId="76AC5640" w14:textId="77777777" w:rsidR="006208BD" w:rsidRPr="006208BD" w:rsidRDefault="006208BD" w:rsidP="006208BD">
      <w:r w:rsidRPr="006208BD">
        <w:t xml:space="preserve">Underlying the delivery of this Customer 360 view, Data Engineers will follow the organisation’s software development lifecycle. This means they need to ensure the </w:t>
      </w:r>
      <w:r w:rsidRPr="006208BD">
        <w:lastRenderedPageBreak/>
        <w:t>pipelines that are built and any code that is written is tested, packaged, deployed, monitored and maintained with bug fixes, enhancements and any software version upgrades. Managing rollback plans in case deployments fail also needs to be considered. This ensures that the data modelling and integrations are run in a stable, scalable and robust manner ensuring minimal interruption to the business.</w:t>
      </w:r>
    </w:p>
    <w:p w14:paraId="4C75C172" w14:textId="77777777" w:rsidR="006208BD" w:rsidRPr="006208BD" w:rsidRDefault="006208BD" w:rsidP="006208BD">
      <w:r w:rsidRPr="006208BD">
        <w:t>In summary, Data Integration and modelling are performed to centralise the data from different domains within the organisation to build a single customer data model. This data is catalogued and monitored for data quality and regulatory compliance is enforced through Data Governance processes. Data Security is applied at each step where data is stored and in transit to ensure that security and privacy are maintained. The organisation is now ready to make data-driven decisions on personalised marketing for each customer. This is known as activation.</w:t>
      </w:r>
    </w:p>
    <w:p w14:paraId="343C12E0" w14:textId="77777777" w:rsidR="006208BD" w:rsidRDefault="006208BD"/>
    <w:sectPr w:rsidR="00620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BD"/>
    <w:rsid w:val="000060D7"/>
    <w:rsid w:val="006208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1F30"/>
  <w15:chartTrackingRefBased/>
  <w15:docId w15:val="{38BBBFB8-0147-4F09-BB55-236F86B4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BD"/>
    <w:rPr>
      <w:rFonts w:eastAsiaTheme="majorEastAsia" w:cstheme="majorBidi"/>
      <w:color w:val="272727" w:themeColor="text1" w:themeTint="D8"/>
    </w:rPr>
  </w:style>
  <w:style w:type="paragraph" w:styleId="Title">
    <w:name w:val="Title"/>
    <w:basedOn w:val="Normal"/>
    <w:next w:val="Normal"/>
    <w:link w:val="TitleChar"/>
    <w:uiPriority w:val="10"/>
    <w:qFormat/>
    <w:rsid w:val="00620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BD"/>
    <w:pPr>
      <w:spacing w:before="160"/>
      <w:jc w:val="center"/>
    </w:pPr>
    <w:rPr>
      <w:i/>
      <w:iCs/>
      <w:color w:val="404040" w:themeColor="text1" w:themeTint="BF"/>
    </w:rPr>
  </w:style>
  <w:style w:type="character" w:customStyle="1" w:styleId="QuoteChar">
    <w:name w:val="Quote Char"/>
    <w:basedOn w:val="DefaultParagraphFont"/>
    <w:link w:val="Quote"/>
    <w:uiPriority w:val="29"/>
    <w:rsid w:val="006208BD"/>
    <w:rPr>
      <w:i/>
      <w:iCs/>
      <w:color w:val="404040" w:themeColor="text1" w:themeTint="BF"/>
    </w:rPr>
  </w:style>
  <w:style w:type="paragraph" w:styleId="ListParagraph">
    <w:name w:val="List Paragraph"/>
    <w:basedOn w:val="Normal"/>
    <w:uiPriority w:val="34"/>
    <w:qFormat/>
    <w:rsid w:val="006208BD"/>
    <w:pPr>
      <w:ind w:left="720"/>
      <w:contextualSpacing/>
    </w:pPr>
  </w:style>
  <w:style w:type="character" w:styleId="IntenseEmphasis">
    <w:name w:val="Intense Emphasis"/>
    <w:basedOn w:val="DefaultParagraphFont"/>
    <w:uiPriority w:val="21"/>
    <w:qFormat/>
    <w:rsid w:val="006208BD"/>
    <w:rPr>
      <w:i/>
      <w:iCs/>
      <w:color w:val="0F4761" w:themeColor="accent1" w:themeShade="BF"/>
    </w:rPr>
  </w:style>
  <w:style w:type="paragraph" w:styleId="IntenseQuote">
    <w:name w:val="Intense Quote"/>
    <w:basedOn w:val="Normal"/>
    <w:next w:val="Normal"/>
    <w:link w:val="IntenseQuoteChar"/>
    <w:uiPriority w:val="30"/>
    <w:qFormat/>
    <w:rsid w:val="00620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BD"/>
    <w:rPr>
      <w:i/>
      <w:iCs/>
      <w:color w:val="0F4761" w:themeColor="accent1" w:themeShade="BF"/>
    </w:rPr>
  </w:style>
  <w:style w:type="character" w:styleId="IntenseReference">
    <w:name w:val="Intense Reference"/>
    <w:basedOn w:val="DefaultParagraphFont"/>
    <w:uiPriority w:val="32"/>
    <w:qFormat/>
    <w:rsid w:val="00620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911</Words>
  <Characters>4942</Characters>
  <Application>Microsoft Office Word</Application>
  <DocSecurity>0</DocSecurity>
  <Lines>83</Lines>
  <Paragraphs>26</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2025-10-28T21:21:00Z</dcterms:created>
  <dcterms:modified xsi:type="dcterms:W3CDTF">2025-10-28T21:22:00Z</dcterms:modified>
</cp:coreProperties>
</file>