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Earthquake Emergency Assistance Policy</w:t>
      </w:r>
    </w:p>
    <w:p>
      <w:r>
        <w:t>Earthquake Emergency Assistance Policy (Policy No. CL&amp;H;_03/26) – Type: Policy. Applicable</w:t>
      </w:r>
    </w:p>
    <w:p>
      <w:r>
        <w:t>to all sectors under City Holdings Group and all local employees affected by earthquake-related</w:t>
      </w:r>
    </w:p>
    <w:p>
      <w:r>
        <w:t>disasters. Brief Description: This policy provides one-time financial assistance to employees and</w:t>
      </w:r>
    </w:p>
    <w:p>
      <w:r>
        <w:t>their immediate families who suffer verified loss, property damage, injury, displacement, or fatality</w:t>
      </w:r>
    </w:p>
    <w:p>
      <w:r>
        <w:t>due to an earthquake. Effective Date: 01 July 2026. Approved by: Group CEO. Prepared by: Group</w:t>
      </w:r>
    </w:p>
    <w:p>
      <w:r>
        <w:t>Corporate Affairs and Human Resources. Responsible Functions: Group Corporate Affairs and</w:t>
      </w:r>
    </w:p>
    <w:p>
      <w:r>
        <w:t>Human Resources. Responsible Officer: Corporate Affairs Director and Head of Human Resources.</w:t>
      </w:r>
    </w:p>
    <w:p>
      <w:r>
        <w:t>Applies To: All eligible local employees of City Holdings Group. Reason for Policy: To support</w:t>
      </w:r>
    </w:p>
    <w:p>
      <w:r>
        <w:t>employee welfare, provide emergency financial relief, strengthen organizational resilience, and</w:t>
      </w:r>
    </w:p>
    <w:p>
      <w:r>
        <w:t>assist employees and their families in recovering from earthquake-related impacts. Introduction:</w:t>
      </w:r>
    </w:p>
    <w:p>
      <w:r>
        <w:t>City Holdings Group recognizes that earthquakes can severely affect employees’ safety, wellbeing,</w:t>
      </w:r>
    </w:p>
    <w:p>
      <w:r>
        <w:t>housing, livelihoods, and family stability; therefore, the Company is committed to providing timely</w:t>
      </w:r>
    </w:p>
    <w:p>
      <w:r>
        <w:t>assistance during emergencies. Policy Statement: The Company shall provide one-time emergency</w:t>
      </w:r>
    </w:p>
    <w:p>
      <w:r>
        <w:t>cash assistance based on verified impact and supporting documentation. Purpose: To provide</w:t>
      </w:r>
    </w:p>
    <w:p>
      <w:r>
        <w:t>immediate relief, support recovery efforts, reduce financial hardship, and demonstrate the</w:t>
      </w:r>
    </w:p>
    <w:p>
      <w:r>
        <w:t>Company’s commitment to employee wellbeing. Scope and Beneficiaries: All local employees</w:t>
      </w:r>
    </w:p>
    <w:p>
      <w:r>
        <w:t>directly affected by a verified earthquake event. Exclusions: Claims without supporting evidence,</w:t>
      </w:r>
    </w:p>
    <w:p>
      <w:r>
        <w:t>damages unrelated to the earthquake, fraudulent claims, expatriate staff where local policy does</w:t>
      </w:r>
    </w:p>
    <w:p>
      <w:r>
        <w:t>not apply, and applications submitted beyond the approved reporting period. Assistance Structure</w:t>
      </w:r>
    </w:p>
    <w:p>
      <w:r>
        <w:t>and Payout Tiers: Tier 1 Minor Damage – MMK 300,000; Tier 2 Moderate Damage – MMK 500,000;</w:t>
      </w:r>
    </w:p>
    <w:p>
      <w:r>
        <w:t>Tier 3 Severe Damage – MMK 1,000,000; Tier 4 Complete Loss of Home – MMK 2,000,000; Tier 5</w:t>
      </w:r>
    </w:p>
    <w:p>
      <w:r>
        <w:t>Serious Injury – MMK 1,500,000; Tier 6 Fatality Support – MMK 3,000,000. Annual Budget</w:t>
      </w:r>
    </w:p>
    <w:p>
      <w:r>
        <w:t>Allocation: Emergency Relief Fund MMK 50,000,000; Housing Recovery Support MMK 30,000,000;</w:t>
      </w:r>
    </w:p>
    <w:p>
      <w:r>
        <w:t>Medical Assistance Support MMK 15,000,000; Bereavement and Family Support MMK 5,000,000;</w:t>
      </w:r>
    </w:p>
    <w:p>
      <w:r>
        <w:t>Total Annual Budget MMK 100,000,000. Definitions: Company means City Holdings Group and its</w:t>
      </w:r>
    </w:p>
    <w:p>
      <w:r>
        <w:t>business units; Immediate Family Member means spouse, children, parents, or dependents;</w:t>
      </w:r>
    </w:p>
    <w:p>
      <w:r>
        <w:t>Earthquake Event means an officially recognized seismic disaster; Verified Damage means</w:t>
      </w:r>
    </w:p>
    <w:p>
      <w:r>
        <w:t>damage supported by acceptable evidence. Required Documents include application form,</w:t>
      </w:r>
    </w:p>
    <w:p>
      <w:r>
        <w:t>photographs, official reports, medical records, death certificates where applicable, and identification</w:t>
      </w:r>
    </w:p>
    <w:p>
      <w:r>
        <w:t>documents. Related Forms: Earthquake Emergency Assistance Application Form. Review and</w:t>
      </w:r>
    </w:p>
    <w:p>
      <w:r>
        <w:t>Governance: This policy shall be reviewed annually, funding levels may be adjusted by</w:t>
      </w:r>
    </w:p>
    <w:p>
      <w:r>
        <w:t>Management, and all approvals shall be subject to verification and budget availability. History:</w:t>
      </w:r>
    </w:p>
    <w:p>
      <w:r>
        <w:t>Version FY26-27 Initial Draft issued on 03 July 2026.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