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10368" w:type="dxa"/>
        <w:tblLook w:val="04A0" w:firstRow="1" w:lastRow="0" w:firstColumn="1" w:lastColumn="0" w:noHBand="0" w:noVBand="1"/>
      </w:tblPr>
      <w:tblGrid>
        <w:gridCol w:w="535"/>
        <w:gridCol w:w="2700"/>
        <w:gridCol w:w="7133"/>
      </w:tblGrid>
      <w:tr w:rsidR="006802CD" w:rsidRPr="006802CD" w:rsidTr="006802CD">
        <w:trPr>
          <w:trHeight w:val="288"/>
        </w:trPr>
        <w:tc>
          <w:tcPr>
            <w:tcW w:w="535" w:type="dxa"/>
            <w:vAlign w:val="center"/>
          </w:tcPr>
          <w:p w:rsidR="006802CD" w:rsidRPr="006802CD" w:rsidRDefault="006802CD" w:rsidP="009558C0">
            <w:pPr>
              <w:rPr>
                <w:b/>
                <w:sz w:val="20"/>
                <w:szCs w:val="20"/>
              </w:rPr>
            </w:pPr>
            <w:bookmarkStart w:id="0" w:name="_GoBack" w:colFirst="0" w:colLast="2"/>
            <w:r w:rsidRPr="006802CD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2700" w:type="dxa"/>
            <w:vAlign w:val="center"/>
          </w:tcPr>
          <w:p w:rsidR="006802CD" w:rsidRPr="006802CD" w:rsidRDefault="006802CD" w:rsidP="009558C0">
            <w:pPr>
              <w:rPr>
                <w:b/>
                <w:sz w:val="20"/>
                <w:szCs w:val="20"/>
              </w:rPr>
            </w:pPr>
            <w:r w:rsidRPr="006802CD">
              <w:rPr>
                <w:b/>
                <w:sz w:val="20"/>
                <w:szCs w:val="20"/>
              </w:rPr>
              <w:t>Lock Type</w:t>
            </w:r>
          </w:p>
        </w:tc>
        <w:tc>
          <w:tcPr>
            <w:tcW w:w="7133" w:type="dxa"/>
            <w:vAlign w:val="center"/>
          </w:tcPr>
          <w:p w:rsidR="006802CD" w:rsidRPr="006802CD" w:rsidRDefault="006802CD" w:rsidP="009558C0">
            <w:pPr>
              <w:rPr>
                <w:b/>
                <w:sz w:val="20"/>
                <w:szCs w:val="20"/>
              </w:rPr>
            </w:pPr>
            <w:r w:rsidRPr="006802CD">
              <w:rPr>
                <w:b/>
                <w:sz w:val="20"/>
                <w:szCs w:val="20"/>
              </w:rPr>
              <w:t>Description</w:t>
            </w:r>
          </w:p>
        </w:tc>
      </w:tr>
      <w:bookmarkEnd w:id="0"/>
      <w:tr w:rsidR="009558C0" w:rsidRPr="006802CD" w:rsidTr="006802CD">
        <w:trPr>
          <w:trHeight w:val="288"/>
        </w:trPr>
        <w:tc>
          <w:tcPr>
            <w:tcW w:w="535" w:type="dxa"/>
            <w:vAlign w:val="center"/>
          </w:tcPr>
          <w:p w:rsidR="009558C0" w:rsidRPr="006802CD" w:rsidRDefault="009558C0" w:rsidP="009558C0">
            <w:pPr>
              <w:rPr>
                <w:sz w:val="20"/>
                <w:szCs w:val="20"/>
              </w:rPr>
            </w:pPr>
            <w:r w:rsidRPr="006802CD">
              <w:rPr>
                <w:sz w:val="20"/>
                <w:szCs w:val="20"/>
              </w:rPr>
              <w:t>0</w:t>
            </w:r>
          </w:p>
        </w:tc>
        <w:tc>
          <w:tcPr>
            <w:tcW w:w="2700" w:type="dxa"/>
            <w:vAlign w:val="center"/>
          </w:tcPr>
          <w:p w:rsidR="009558C0" w:rsidRPr="006802CD" w:rsidRDefault="009558C0" w:rsidP="009558C0">
            <w:pPr>
              <w:rPr>
                <w:sz w:val="20"/>
                <w:szCs w:val="20"/>
              </w:rPr>
            </w:pPr>
            <w:r w:rsidRPr="006802CD">
              <w:rPr>
                <w:sz w:val="20"/>
                <w:szCs w:val="20"/>
              </w:rPr>
              <w:t>No Lock</w:t>
            </w:r>
          </w:p>
        </w:tc>
        <w:tc>
          <w:tcPr>
            <w:tcW w:w="7133" w:type="dxa"/>
            <w:vAlign w:val="center"/>
          </w:tcPr>
          <w:p w:rsidR="009558C0" w:rsidRPr="006802CD" w:rsidRDefault="009558C0" w:rsidP="009558C0">
            <w:pPr>
              <w:rPr>
                <w:sz w:val="20"/>
                <w:szCs w:val="20"/>
              </w:rPr>
            </w:pPr>
            <w:r w:rsidRPr="006802CD">
              <w:rPr>
                <w:sz w:val="20"/>
                <w:szCs w:val="20"/>
              </w:rPr>
              <w:t>N/A</w:t>
            </w:r>
          </w:p>
        </w:tc>
      </w:tr>
      <w:tr w:rsidR="009558C0" w:rsidRPr="006802CD" w:rsidTr="006802CD">
        <w:trPr>
          <w:trHeight w:val="288"/>
        </w:trPr>
        <w:tc>
          <w:tcPr>
            <w:tcW w:w="535" w:type="dxa"/>
            <w:vAlign w:val="center"/>
          </w:tcPr>
          <w:p w:rsidR="009558C0" w:rsidRPr="006802CD" w:rsidRDefault="009558C0" w:rsidP="009558C0">
            <w:pPr>
              <w:rPr>
                <w:sz w:val="20"/>
                <w:szCs w:val="20"/>
              </w:rPr>
            </w:pPr>
            <w:r w:rsidRPr="006802CD">
              <w:rPr>
                <w:sz w:val="20"/>
                <w:szCs w:val="20"/>
              </w:rPr>
              <w:t>1</w:t>
            </w:r>
          </w:p>
        </w:tc>
        <w:tc>
          <w:tcPr>
            <w:tcW w:w="2700" w:type="dxa"/>
            <w:vAlign w:val="center"/>
          </w:tcPr>
          <w:p w:rsidR="009558C0" w:rsidRPr="006802CD" w:rsidRDefault="006802CD" w:rsidP="009558C0">
            <w:pPr>
              <w:rPr>
                <w:sz w:val="20"/>
                <w:szCs w:val="20"/>
              </w:rPr>
            </w:pPr>
            <w:r w:rsidRPr="006802CD">
              <w:rPr>
                <w:sz w:val="20"/>
                <w:szCs w:val="20"/>
              </w:rPr>
              <w:t>Null</w:t>
            </w:r>
            <w:r w:rsidR="009558C0" w:rsidRPr="006802CD">
              <w:rPr>
                <w:sz w:val="20"/>
                <w:szCs w:val="20"/>
              </w:rPr>
              <w:t xml:space="preserve"> Lock (NL)</w:t>
            </w:r>
          </w:p>
        </w:tc>
        <w:tc>
          <w:tcPr>
            <w:tcW w:w="7133" w:type="dxa"/>
            <w:vAlign w:val="center"/>
          </w:tcPr>
          <w:p w:rsidR="009558C0" w:rsidRPr="006802CD" w:rsidRDefault="009558C0" w:rsidP="009558C0">
            <w:pPr>
              <w:rPr>
                <w:sz w:val="20"/>
                <w:szCs w:val="20"/>
              </w:rPr>
            </w:pPr>
            <w:r w:rsidRPr="006802CD">
              <w:rPr>
                <w:sz w:val="20"/>
                <w:szCs w:val="20"/>
              </w:rPr>
              <w:t xml:space="preserve">Used during some parallel </w:t>
            </w:r>
            <w:r w:rsidRPr="006802CD">
              <w:rPr>
                <w:sz w:val="20"/>
                <w:szCs w:val="20"/>
              </w:rPr>
              <w:t xml:space="preserve">DML operations (e.g. update) by </w:t>
            </w:r>
            <w:r w:rsidRPr="006802CD">
              <w:rPr>
                <w:sz w:val="20"/>
                <w:szCs w:val="20"/>
              </w:rPr>
              <w:t xml:space="preserve">the </w:t>
            </w:r>
            <w:proofErr w:type="spellStart"/>
            <w:r w:rsidRPr="006802CD">
              <w:rPr>
                <w:sz w:val="20"/>
                <w:szCs w:val="20"/>
              </w:rPr>
              <w:t>pX</w:t>
            </w:r>
            <w:proofErr w:type="spellEnd"/>
            <w:r w:rsidRPr="006802CD">
              <w:rPr>
                <w:sz w:val="20"/>
                <w:szCs w:val="20"/>
              </w:rPr>
              <w:t xml:space="preserve"> slaves while the QC is holding an exclusive lock.</w:t>
            </w:r>
          </w:p>
        </w:tc>
      </w:tr>
      <w:tr w:rsidR="009558C0" w:rsidRPr="006802CD" w:rsidTr="006802CD">
        <w:trPr>
          <w:trHeight w:val="288"/>
        </w:trPr>
        <w:tc>
          <w:tcPr>
            <w:tcW w:w="535" w:type="dxa"/>
            <w:vAlign w:val="center"/>
          </w:tcPr>
          <w:p w:rsidR="009558C0" w:rsidRPr="006802CD" w:rsidRDefault="009558C0" w:rsidP="009558C0">
            <w:pPr>
              <w:rPr>
                <w:sz w:val="20"/>
                <w:szCs w:val="20"/>
              </w:rPr>
            </w:pPr>
            <w:r w:rsidRPr="006802CD">
              <w:rPr>
                <w:sz w:val="20"/>
                <w:szCs w:val="20"/>
              </w:rPr>
              <w:t>2</w:t>
            </w:r>
          </w:p>
        </w:tc>
        <w:tc>
          <w:tcPr>
            <w:tcW w:w="2700" w:type="dxa"/>
            <w:vAlign w:val="center"/>
          </w:tcPr>
          <w:p w:rsidR="009558C0" w:rsidRPr="006802CD" w:rsidRDefault="009558C0" w:rsidP="009558C0">
            <w:pPr>
              <w:rPr>
                <w:sz w:val="20"/>
                <w:szCs w:val="20"/>
              </w:rPr>
            </w:pPr>
            <w:r w:rsidRPr="006802CD">
              <w:rPr>
                <w:sz w:val="20"/>
                <w:szCs w:val="20"/>
              </w:rPr>
              <w:t>Sub</w:t>
            </w:r>
            <w:r w:rsidR="006802CD" w:rsidRPr="006802CD">
              <w:rPr>
                <w:sz w:val="20"/>
                <w:szCs w:val="20"/>
              </w:rPr>
              <w:t xml:space="preserve"> </w:t>
            </w:r>
            <w:r w:rsidRPr="006802CD">
              <w:rPr>
                <w:sz w:val="20"/>
                <w:szCs w:val="20"/>
              </w:rPr>
              <w:t>Share (SS)</w:t>
            </w:r>
          </w:p>
        </w:tc>
        <w:tc>
          <w:tcPr>
            <w:tcW w:w="7133" w:type="dxa"/>
            <w:vAlign w:val="center"/>
          </w:tcPr>
          <w:p w:rsidR="009558C0" w:rsidRPr="006802CD" w:rsidRDefault="009558C0" w:rsidP="009558C0">
            <w:pPr>
              <w:rPr>
                <w:sz w:val="20"/>
                <w:szCs w:val="20"/>
              </w:rPr>
            </w:pPr>
            <w:r w:rsidRPr="006802CD">
              <w:rPr>
                <w:sz w:val="20"/>
                <w:szCs w:val="20"/>
              </w:rPr>
              <w:t>Until 9.2.0.5/6 "select for update"</w:t>
            </w:r>
          </w:p>
        </w:tc>
      </w:tr>
      <w:tr w:rsidR="009558C0" w:rsidRPr="006802CD" w:rsidTr="006802CD">
        <w:trPr>
          <w:trHeight w:val="288"/>
        </w:trPr>
        <w:tc>
          <w:tcPr>
            <w:tcW w:w="535" w:type="dxa"/>
            <w:vAlign w:val="center"/>
          </w:tcPr>
          <w:p w:rsidR="009558C0" w:rsidRPr="006802CD" w:rsidRDefault="009558C0" w:rsidP="009558C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9558C0" w:rsidRPr="006802CD" w:rsidRDefault="009558C0" w:rsidP="009558C0">
            <w:pPr>
              <w:rPr>
                <w:sz w:val="20"/>
                <w:szCs w:val="20"/>
              </w:rPr>
            </w:pPr>
            <w:r w:rsidRPr="006802CD">
              <w:rPr>
                <w:sz w:val="20"/>
                <w:szCs w:val="20"/>
              </w:rPr>
              <w:t>Row</w:t>
            </w:r>
            <w:r w:rsidR="006802CD" w:rsidRPr="006802CD">
              <w:rPr>
                <w:sz w:val="20"/>
                <w:szCs w:val="20"/>
              </w:rPr>
              <w:t xml:space="preserve"> </w:t>
            </w:r>
            <w:r w:rsidRPr="006802CD">
              <w:rPr>
                <w:sz w:val="20"/>
                <w:szCs w:val="20"/>
              </w:rPr>
              <w:t>Share (RS)</w:t>
            </w:r>
          </w:p>
        </w:tc>
        <w:tc>
          <w:tcPr>
            <w:tcW w:w="7133" w:type="dxa"/>
            <w:vAlign w:val="center"/>
          </w:tcPr>
          <w:p w:rsidR="006802CD" w:rsidRPr="006802CD" w:rsidRDefault="009558C0" w:rsidP="009558C0">
            <w:pPr>
              <w:rPr>
                <w:sz w:val="20"/>
                <w:szCs w:val="20"/>
              </w:rPr>
            </w:pPr>
            <w:r w:rsidRPr="006802CD">
              <w:rPr>
                <w:sz w:val="20"/>
                <w:szCs w:val="20"/>
              </w:rPr>
              <w:t xml:space="preserve">Since 9.2.0.1/2 used at opposite end of RI during DML until 11.1. Lock table in row share mode. </w:t>
            </w:r>
          </w:p>
          <w:p w:rsidR="009558C0" w:rsidRPr="006802CD" w:rsidRDefault="009558C0" w:rsidP="009558C0">
            <w:pPr>
              <w:rPr>
                <w:sz w:val="20"/>
                <w:szCs w:val="20"/>
              </w:rPr>
            </w:pPr>
            <w:r w:rsidRPr="006802CD">
              <w:rPr>
                <w:sz w:val="20"/>
                <w:szCs w:val="20"/>
              </w:rPr>
              <w:t>Lock table in share update mode.</w:t>
            </w:r>
          </w:p>
        </w:tc>
      </w:tr>
      <w:tr w:rsidR="009558C0" w:rsidRPr="006802CD" w:rsidTr="006802CD">
        <w:trPr>
          <w:trHeight w:val="288"/>
        </w:trPr>
        <w:tc>
          <w:tcPr>
            <w:tcW w:w="535" w:type="dxa"/>
            <w:vAlign w:val="center"/>
          </w:tcPr>
          <w:p w:rsidR="009558C0" w:rsidRPr="006802CD" w:rsidRDefault="009558C0" w:rsidP="009558C0">
            <w:pPr>
              <w:rPr>
                <w:sz w:val="20"/>
                <w:szCs w:val="20"/>
              </w:rPr>
            </w:pPr>
            <w:r w:rsidRPr="006802CD">
              <w:rPr>
                <w:sz w:val="20"/>
                <w:szCs w:val="20"/>
              </w:rPr>
              <w:t>3</w:t>
            </w:r>
          </w:p>
        </w:tc>
        <w:tc>
          <w:tcPr>
            <w:tcW w:w="2700" w:type="dxa"/>
            <w:vAlign w:val="center"/>
          </w:tcPr>
          <w:p w:rsidR="009558C0" w:rsidRPr="006802CD" w:rsidRDefault="006802CD" w:rsidP="009558C0">
            <w:pPr>
              <w:rPr>
                <w:sz w:val="20"/>
                <w:szCs w:val="20"/>
              </w:rPr>
            </w:pPr>
            <w:r w:rsidRPr="006802CD">
              <w:rPr>
                <w:sz w:val="20"/>
                <w:szCs w:val="20"/>
              </w:rPr>
              <w:t xml:space="preserve">Sub </w:t>
            </w:r>
            <w:r w:rsidR="009558C0" w:rsidRPr="006802CD">
              <w:rPr>
                <w:sz w:val="20"/>
                <w:szCs w:val="20"/>
              </w:rPr>
              <w:t>Exclusive(SX)</w:t>
            </w:r>
          </w:p>
        </w:tc>
        <w:tc>
          <w:tcPr>
            <w:tcW w:w="7133" w:type="dxa"/>
            <w:vAlign w:val="center"/>
          </w:tcPr>
          <w:p w:rsidR="009558C0" w:rsidRPr="006802CD" w:rsidRDefault="00CB30DE" w:rsidP="009558C0">
            <w:pPr>
              <w:rPr>
                <w:sz w:val="20"/>
                <w:szCs w:val="20"/>
              </w:rPr>
            </w:pPr>
            <w:r w:rsidRPr="006802CD">
              <w:rPr>
                <w:sz w:val="20"/>
                <w:szCs w:val="20"/>
              </w:rPr>
              <w:t>Update (also "select for update" from 9.2.0.5/6)</w:t>
            </w:r>
          </w:p>
        </w:tc>
      </w:tr>
      <w:tr w:rsidR="009558C0" w:rsidRPr="006802CD" w:rsidTr="006802CD">
        <w:trPr>
          <w:trHeight w:val="288"/>
        </w:trPr>
        <w:tc>
          <w:tcPr>
            <w:tcW w:w="535" w:type="dxa"/>
            <w:vAlign w:val="center"/>
          </w:tcPr>
          <w:p w:rsidR="009558C0" w:rsidRPr="006802CD" w:rsidRDefault="009558C0" w:rsidP="009558C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9558C0" w:rsidRPr="006802CD" w:rsidRDefault="00CB30DE" w:rsidP="009558C0">
            <w:pPr>
              <w:rPr>
                <w:sz w:val="20"/>
                <w:szCs w:val="20"/>
              </w:rPr>
            </w:pPr>
            <w:r w:rsidRPr="006802CD">
              <w:rPr>
                <w:sz w:val="20"/>
                <w:szCs w:val="20"/>
              </w:rPr>
              <w:t>Row</w:t>
            </w:r>
            <w:r w:rsidR="006802CD" w:rsidRPr="006802CD">
              <w:rPr>
                <w:sz w:val="20"/>
                <w:szCs w:val="20"/>
              </w:rPr>
              <w:t xml:space="preserve"> </w:t>
            </w:r>
            <w:r w:rsidRPr="006802CD">
              <w:rPr>
                <w:sz w:val="20"/>
                <w:szCs w:val="20"/>
              </w:rPr>
              <w:t>exclusive(RX)</w:t>
            </w:r>
          </w:p>
        </w:tc>
        <w:tc>
          <w:tcPr>
            <w:tcW w:w="7133" w:type="dxa"/>
            <w:vAlign w:val="center"/>
          </w:tcPr>
          <w:p w:rsidR="006802CD" w:rsidRPr="006802CD" w:rsidRDefault="00CB30DE" w:rsidP="009558C0">
            <w:pPr>
              <w:rPr>
                <w:sz w:val="20"/>
                <w:szCs w:val="20"/>
              </w:rPr>
            </w:pPr>
            <w:r w:rsidRPr="006802CD">
              <w:rPr>
                <w:sz w:val="20"/>
                <w:szCs w:val="20"/>
              </w:rPr>
              <w:t xml:space="preserve">Lock table in row exclusive mode. </w:t>
            </w:r>
          </w:p>
          <w:p w:rsidR="009558C0" w:rsidRPr="006802CD" w:rsidRDefault="00CB30DE" w:rsidP="009558C0">
            <w:pPr>
              <w:rPr>
                <w:sz w:val="20"/>
                <w:szCs w:val="20"/>
              </w:rPr>
            </w:pPr>
            <w:r w:rsidRPr="006802CD">
              <w:rPr>
                <w:sz w:val="20"/>
                <w:szCs w:val="20"/>
              </w:rPr>
              <w:t>Since 11.1 used at opposite end of RI during DML.</w:t>
            </w:r>
          </w:p>
        </w:tc>
      </w:tr>
      <w:tr w:rsidR="009558C0" w:rsidRPr="006802CD" w:rsidTr="006802CD">
        <w:trPr>
          <w:trHeight w:val="288"/>
        </w:trPr>
        <w:tc>
          <w:tcPr>
            <w:tcW w:w="535" w:type="dxa"/>
            <w:vAlign w:val="center"/>
          </w:tcPr>
          <w:p w:rsidR="009558C0" w:rsidRPr="006802CD" w:rsidRDefault="00CB30DE" w:rsidP="009558C0">
            <w:pPr>
              <w:rPr>
                <w:sz w:val="20"/>
                <w:szCs w:val="20"/>
              </w:rPr>
            </w:pPr>
            <w:r w:rsidRPr="006802CD">
              <w:rPr>
                <w:sz w:val="20"/>
                <w:szCs w:val="20"/>
              </w:rPr>
              <w:t>4</w:t>
            </w:r>
          </w:p>
        </w:tc>
        <w:tc>
          <w:tcPr>
            <w:tcW w:w="2700" w:type="dxa"/>
            <w:vAlign w:val="center"/>
          </w:tcPr>
          <w:p w:rsidR="009558C0" w:rsidRPr="006802CD" w:rsidRDefault="00CB30DE" w:rsidP="009558C0">
            <w:pPr>
              <w:rPr>
                <w:sz w:val="20"/>
                <w:szCs w:val="20"/>
              </w:rPr>
            </w:pPr>
            <w:r w:rsidRPr="006802CD">
              <w:rPr>
                <w:sz w:val="20"/>
                <w:szCs w:val="20"/>
              </w:rPr>
              <w:t>Share (S)</w:t>
            </w:r>
          </w:p>
        </w:tc>
        <w:tc>
          <w:tcPr>
            <w:tcW w:w="7133" w:type="dxa"/>
            <w:vAlign w:val="center"/>
          </w:tcPr>
          <w:p w:rsidR="009558C0" w:rsidRPr="006802CD" w:rsidRDefault="00CB30DE" w:rsidP="009558C0">
            <w:pPr>
              <w:rPr>
                <w:sz w:val="20"/>
                <w:szCs w:val="20"/>
              </w:rPr>
            </w:pPr>
            <w:r w:rsidRPr="006802CD">
              <w:rPr>
                <w:sz w:val="20"/>
                <w:szCs w:val="20"/>
              </w:rPr>
              <w:t>Lock table in share mode.</w:t>
            </w:r>
          </w:p>
          <w:p w:rsidR="006802CD" w:rsidRPr="006802CD" w:rsidRDefault="006802CD" w:rsidP="009558C0">
            <w:pPr>
              <w:rPr>
                <w:sz w:val="20"/>
                <w:szCs w:val="20"/>
              </w:rPr>
            </w:pPr>
            <w:r w:rsidRPr="006802CD">
              <w:rPr>
                <w:sz w:val="20"/>
                <w:szCs w:val="20"/>
              </w:rPr>
              <w:t>Can appear during parallel DML with id2 = 1, in the PX slave sessions.</w:t>
            </w:r>
          </w:p>
          <w:p w:rsidR="006802CD" w:rsidRPr="006802CD" w:rsidRDefault="006802CD" w:rsidP="009558C0">
            <w:pPr>
              <w:rPr>
                <w:sz w:val="20"/>
                <w:szCs w:val="20"/>
              </w:rPr>
            </w:pPr>
            <w:r w:rsidRPr="006802CD">
              <w:rPr>
                <w:sz w:val="20"/>
                <w:szCs w:val="20"/>
              </w:rPr>
              <w:t>Common symptom of "foreign key locking" (missing index) problem.</w:t>
            </w:r>
          </w:p>
          <w:p w:rsidR="006802CD" w:rsidRPr="006802CD" w:rsidRDefault="006802CD" w:rsidP="009558C0">
            <w:pPr>
              <w:rPr>
                <w:sz w:val="20"/>
                <w:szCs w:val="20"/>
              </w:rPr>
            </w:pPr>
            <w:r w:rsidRPr="006802CD">
              <w:rPr>
                <w:sz w:val="20"/>
                <w:szCs w:val="20"/>
              </w:rPr>
              <w:t>Note that bitmap indexes on the child DON'T address the locking problem.</w:t>
            </w:r>
          </w:p>
        </w:tc>
      </w:tr>
      <w:tr w:rsidR="006802CD" w:rsidRPr="006802CD" w:rsidTr="006802CD">
        <w:trPr>
          <w:trHeight w:val="288"/>
        </w:trPr>
        <w:tc>
          <w:tcPr>
            <w:tcW w:w="535" w:type="dxa"/>
            <w:vAlign w:val="center"/>
          </w:tcPr>
          <w:p w:rsidR="006802CD" w:rsidRPr="006802CD" w:rsidRDefault="006802CD" w:rsidP="009558C0">
            <w:pPr>
              <w:rPr>
                <w:sz w:val="20"/>
                <w:szCs w:val="20"/>
              </w:rPr>
            </w:pPr>
            <w:r w:rsidRPr="006802CD">
              <w:rPr>
                <w:sz w:val="20"/>
                <w:szCs w:val="20"/>
              </w:rPr>
              <w:t>5</w:t>
            </w:r>
          </w:p>
        </w:tc>
        <w:tc>
          <w:tcPr>
            <w:tcW w:w="2700" w:type="dxa"/>
            <w:vAlign w:val="center"/>
          </w:tcPr>
          <w:p w:rsidR="006802CD" w:rsidRPr="006802CD" w:rsidRDefault="006802CD" w:rsidP="009558C0">
            <w:pPr>
              <w:rPr>
                <w:sz w:val="20"/>
                <w:szCs w:val="20"/>
              </w:rPr>
            </w:pPr>
            <w:r w:rsidRPr="006802CD">
              <w:rPr>
                <w:sz w:val="20"/>
                <w:szCs w:val="20"/>
              </w:rPr>
              <w:t>Share Sub Exclusive (SSX)</w:t>
            </w:r>
          </w:p>
        </w:tc>
        <w:tc>
          <w:tcPr>
            <w:tcW w:w="7133" w:type="dxa"/>
            <w:vAlign w:val="center"/>
          </w:tcPr>
          <w:p w:rsidR="006802CD" w:rsidRPr="006802CD" w:rsidRDefault="006802CD" w:rsidP="009558C0">
            <w:pPr>
              <w:rPr>
                <w:sz w:val="20"/>
                <w:szCs w:val="20"/>
              </w:rPr>
            </w:pPr>
            <w:r w:rsidRPr="006802CD">
              <w:rPr>
                <w:sz w:val="20"/>
                <w:szCs w:val="20"/>
              </w:rPr>
              <w:t>Lock table in share row exclusive mode.</w:t>
            </w:r>
          </w:p>
        </w:tc>
      </w:tr>
      <w:tr w:rsidR="006802CD" w:rsidRPr="006802CD" w:rsidTr="006802CD">
        <w:trPr>
          <w:trHeight w:val="288"/>
        </w:trPr>
        <w:tc>
          <w:tcPr>
            <w:tcW w:w="535" w:type="dxa"/>
            <w:vAlign w:val="center"/>
          </w:tcPr>
          <w:p w:rsidR="006802CD" w:rsidRPr="006802CD" w:rsidRDefault="006802CD" w:rsidP="009558C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6802CD" w:rsidRPr="006802CD" w:rsidRDefault="006802CD" w:rsidP="009558C0">
            <w:pPr>
              <w:rPr>
                <w:sz w:val="20"/>
                <w:szCs w:val="20"/>
              </w:rPr>
            </w:pPr>
            <w:r w:rsidRPr="006802CD">
              <w:rPr>
                <w:sz w:val="20"/>
                <w:szCs w:val="20"/>
              </w:rPr>
              <w:t>Share Row Exclusive (SRX)</w:t>
            </w:r>
          </w:p>
        </w:tc>
        <w:tc>
          <w:tcPr>
            <w:tcW w:w="7133" w:type="dxa"/>
            <w:vAlign w:val="center"/>
          </w:tcPr>
          <w:p w:rsidR="006802CD" w:rsidRPr="006802CD" w:rsidRDefault="006802CD" w:rsidP="009558C0">
            <w:pPr>
              <w:rPr>
                <w:sz w:val="20"/>
                <w:szCs w:val="20"/>
              </w:rPr>
            </w:pPr>
            <w:r w:rsidRPr="006802CD">
              <w:rPr>
                <w:sz w:val="20"/>
                <w:szCs w:val="20"/>
              </w:rPr>
              <w:t>Less common symptom of "foreign key locking" but likely to be more frequent if the FK constraint is defined with "on delete cascade."</w:t>
            </w:r>
          </w:p>
        </w:tc>
      </w:tr>
      <w:tr w:rsidR="006802CD" w:rsidRPr="006802CD" w:rsidTr="006802CD">
        <w:trPr>
          <w:trHeight w:val="288"/>
        </w:trPr>
        <w:tc>
          <w:tcPr>
            <w:tcW w:w="535" w:type="dxa"/>
            <w:vAlign w:val="center"/>
          </w:tcPr>
          <w:p w:rsidR="006802CD" w:rsidRPr="006802CD" w:rsidRDefault="006802CD" w:rsidP="009558C0">
            <w:pPr>
              <w:rPr>
                <w:sz w:val="20"/>
                <w:szCs w:val="20"/>
              </w:rPr>
            </w:pPr>
            <w:r w:rsidRPr="006802CD">
              <w:rPr>
                <w:sz w:val="20"/>
                <w:szCs w:val="20"/>
              </w:rPr>
              <w:t>6</w:t>
            </w:r>
          </w:p>
        </w:tc>
        <w:tc>
          <w:tcPr>
            <w:tcW w:w="2700" w:type="dxa"/>
            <w:vAlign w:val="center"/>
          </w:tcPr>
          <w:p w:rsidR="006802CD" w:rsidRPr="006802CD" w:rsidRDefault="006802CD" w:rsidP="009558C0">
            <w:pPr>
              <w:rPr>
                <w:sz w:val="20"/>
                <w:szCs w:val="20"/>
              </w:rPr>
            </w:pPr>
            <w:r w:rsidRPr="006802CD">
              <w:rPr>
                <w:sz w:val="20"/>
                <w:szCs w:val="20"/>
              </w:rPr>
              <w:t>Exclusive (X)</w:t>
            </w:r>
          </w:p>
        </w:tc>
        <w:tc>
          <w:tcPr>
            <w:tcW w:w="7133" w:type="dxa"/>
            <w:vAlign w:val="center"/>
          </w:tcPr>
          <w:p w:rsidR="006802CD" w:rsidRPr="006802CD" w:rsidRDefault="006802CD" w:rsidP="009558C0">
            <w:pPr>
              <w:rPr>
                <w:sz w:val="20"/>
                <w:szCs w:val="20"/>
              </w:rPr>
            </w:pPr>
            <w:r w:rsidRPr="006802CD">
              <w:rPr>
                <w:sz w:val="20"/>
                <w:szCs w:val="20"/>
              </w:rPr>
              <w:t>Lock table in exclusive mode create index    -- duration and timing depend on options used insert /*+ append */.</w:t>
            </w:r>
          </w:p>
        </w:tc>
      </w:tr>
    </w:tbl>
    <w:p w:rsidR="00934F62" w:rsidRDefault="00934F62"/>
    <w:sectPr w:rsidR="00934F62" w:rsidSect="000149FA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C0"/>
    <w:rsid w:val="000149FA"/>
    <w:rsid w:val="006802CD"/>
    <w:rsid w:val="00934F62"/>
    <w:rsid w:val="009558C0"/>
    <w:rsid w:val="00CB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583E"/>
  <w15:chartTrackingRefBased/>
  <w15:docId w15:val="{2B373AE7-1465-4DDE-94F5-DB757CC4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558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Htet Paing</dc:creator>
  <cp:keywords/>
  <dc:description/>
  <cp:lastModifiedBy>Htet Paing</cp:lastModifiedBy>
  <cp:revision>1</cp:revision>
  <dcterms:created xsi:type="dcterms:W3CDTF">2017-05-24T06:04:00Z</dcterms:created>
  <dcterms:modified xsi:type="dcterms:W3CDTF">2017-05-24T06:39:00Z</dcterms:modified>
</cp:coreProperties>
</file>