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cancelled as a negation; a hedged cue is read in the twelve characters before the term or, up to the next punctuation, after it.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(the algorithmic labels after blinded surgeon adjudication), the reference implementation agreed on 726 of 740 (98.1%): 98.7% for the UGI series, 98.1% for CT and 96.6% for ultrasound. All fourteen disagreements were reference-implementation under-calls; there was no over-call.</w:t>
      </w:r>
    </w:p>
    <w:p>
      <w:pPr>
        <w:spacing w:after="160"/>
      </w:pPr>
      <w:r>
        <w:t>The residual under-calls are dominated by the failure modes listed in Section G: the diagnosis stated in the findings section but not carried into the conclusion; a conclusion consisting only of a cross-reference to another report; and a diagnostic sign described morphologically without the diagnosis being named. These are the reports that adjudication corrected upward, so the direction of error is consistent with a rule set of this kind under-detecting rather than over-detecting, and the detection rates reported in the manuscript are conservative.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