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词，删的全部是附录里已有的重复细节，没有删任何一条回应评审意见的实质内容。核对过的关键数据全部保留：0/119 未记录 D3、SMA-SMV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带来十二指肠评估的增加（9.4%→2.2%）。因为传开的认知是"肠旋转不良要看漩涡征"，而不是那套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`Figure1_flow.png`、`Figure3_detection.png`、`Figure4_us_audit.png`（正文图 1–3，300 dpi）</w:t>
      </w:r>
    </w:p>
    <w:p>
      <w:pPr>
        <w:spacing w:after="160"/>
      </w:pPr>
      <w:r>
        <w:t>• `Figure2_paired.png`（附录 Figure S1）</w:t>
      </w:r>
    </w:p>
    <w:p>
      <w:pPr>
        <w:spacing w:after="160"/>
      </w:pPr>
      <w:r>
        <w:t xml:space="preserve">• `诊断效能_TitlePage_作者信息.docx` —— </w:t>
      </w:r>
      <w:r>
        <w:rPr>
          <w:b/>
        </w:rPr>
        <w:t>需你更新</w:t>
      </w:r>
      <w:r>
        <w:t>：标题已改，请同步换成新标题，并补齐经费、作者贡献、伦理批件号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六、仍需作者确认的内容（正文中以 ⟦AUTHORS: …⟧ 标出）</w:t>
      </w:r>
    </w:p>
    <w:p>
      <w:pPr>
        <w:spacing w:after="160"/>
      </w:pPr>
      <w:r>
        <w:t>超声检查方案/设备/人员在 2012–2026 年间是否有过正式变更及其日期。这一条若能补实，第三部分（年代变化由检查内容解释）的论证会显著加强。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