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2,997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No ultrasound report (0/119) documented D3 or the duodenojejunal junction; the mesenteric artery–vein relationship was described in 8.4% and enteric fluid in 0.8%,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examinations booked as abdominal great-vessel studies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none of 119 routine ultrasound reports.</w:t>
      </w:r>
    </w:p>
    <w:p>
      <w:pPr>
        <w:spacing w:after="160"/>
      </w:pPr>
      <w:r>
        <w:t>• A recorded whirlpool sign separated positive from negative ultrasound reports.</w:t>
      </w:r>
    </w:p>
    <w:p>
      <w:pPr>
        <w:spacing w:after="160"/>
      </w:pPr>
      <w:r>
        <w:t>• Detection improved when the examination changed, not as time passed.</w:t>
      </w:r>
    </w:p>
    <w:p>
      <w:pPr>
        <w:pStyle w:val="Heading1"/>
      </w:pPr>
      <w:r>
        <w:t>Introduction</w:t>
      </w:r>
    </w:p>
    <w:p>
      <w:pPr>
        <w:spacing w:after="160"/>
      </w:pPr>
      <w:r>
        <w:t>Intestinal malrotation predisposes to midgut volvulus, which can progress within hours to bowel ischaemia, necrosis, short-bowel syndrome or death [1, 2]. Bilious vomiting in a neonate remains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toward ultrasound: contemporary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third portion of the duodenum (D3), the duodenojejunal junction, the superior mesenteric artery–vein relationship, enteric fluid and dynamic graded compression [9, 12, 18, 20, 21] — elements the same literature records as demanding and not universally achievable, with D3 position alone argued insufficient for a confident diagnosis [22].</w:t>
      </w:r>
    </w:p>
    <w:p>
      <w:pPr>
        <w:spacing w:after="160"/>
      </w:pPr>
      <w:r>
        <w:t>This creates a question those studies cannot answer. They describe what ultrasound achieves under favourable conditions, by readers who know malrotation is the question; what clinicians act on is the routine report issued during unselected care. If the elements driving published accuracy are frequently absent from routine examinations, a department adopting an ultrasound-first pathway on the strength of the published figures may not obtain the published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informed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which would invite the inference that the figure applies to children investigated for suspected malrotation. Specificity, predictive values and any accuracy-based ranking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clinical and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and no sample-size calculation was performed. Age at operation was age at admission for the operative encounter plus the interval to operation.</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in use at any point. On enquiry, the department reports no material change in ultrasound equipment, reporting staff or protocol during the study period, attributing the change in practice from about 2021 to growing awareness of the diagnosis — an account given retrospectively rather than recorded at the time. Because CT was ascertained from report text rather than a dose registry, radiation dose metrics could not be captured.</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limiting bowel gas, caecal position and bedside performance; for CT and the UGI series, the corresponding landmarks (Online Resource 1). The audit is a lower bound on what was performed (see Limitations).</w:t>
      </w:r>
    </w:p>
    <w:p>
      <w:pPr>
        <w:spacing w:after="160"/>
      </w:pPr>
      <w:r>
        <w:t>An examination was positive when its conclusion raised malrotation, including tentative phrasing, or a modality-appropriate sign; explicit negation was negative and isolated gastric volvulus was not counted. Because tentative phrasing is standard in our department, we tabulated the certainty tier of every positive conclusion and repeated the analyses with all "possible"-tier conclusions reclassified as negative.</w:t>
      </w:r>
    </w:p>
    <w:p>
      <w:pPr>
        <w:spacing w:after="160"/>
      </w:pPr>
      <w:r>
        <w:t>Report text was classified with a rule-based, clause-level algorithm with explicit negation handling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 Characteristics of the children receiving each index test are tabulated to display confounding by indication rather than to adjust it away.</w:t>
      </w:r>
    </w:p>
    <w:p>
      <w:pPr>
        <w:spacing w:after="160"/>
      </w:pPr>
      <w:r>
        <w:t>Between-modality comparison used a generalised estimating equation (GEE) logistic model [16] with patient-level clustering and cluster-robust standard errors, unadjusted and adjusted for era (2012–2018 vs 2019–2026) and age category. A pre-specified modality-by-volvulus interaction was not estimable, because no ultrasound examination was positive among the six children without volvulus (complete separation). In the subgroup receiving all three modalities, detection was compared with Cochran's Q and the exact McNemar test, repeated where all three fell within 48 h and 24 h (Online Resource 2). The temporal change was examined with modality-specific logistic models of detection on era, before and after adding that modality's content variable: for ultrasound, whether the study was booked and reported under the abdominal great-vessel item rather than the gastrointestinal ultrasound item (great-vessel-coded), and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what the children without an index test received</w:t>
      </w:r>
    </w:p>
    <w:p>
      <w:pPr>
        <w:spacing w:after="160"/>
      </w:pPr>
      <w:r>
        <w:t>Of 465 children with surgically confirmed malrotation, 352 (75.7%) were male, median age at operation was 13 days (range 0–14.2 years),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46 had radiographs, 12 a contrast enema, 22 ultrasound of another region and 7 CT of another region; the 5 with no in-hospital study each had imaging documented before transfer, three already reporting malrotation or volvulus. They were older than the imaged children (median 63 vs 12 days), less often neonates (41.8% vs 68.0%) and less often had volvulus (76.4% vs 88.0%), so their exclusion is informative missingness rather than random loss.</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rising from 13% to 48%. Test sequence differed too — the UGI series was the final preoperative test in 75.1% of children who received it, against 19.2% for CT and 36.8% for ultrasound, and its detection was higher in that position (80.4% vs 70.5%) — so it functioned as the confirmatory study preceding operation, a feature of the pathway rather than of the test.</w:t>
      </w:r>
    </w:p>
    <w:p>
      <w:pPr>
        <w:pStyle w:val="Heading2"/>
      </w:pPr>
      <w:r>
        <w:t>Report-level detection and the certainty of the wording</w:t>
      </w:r>
    </w:p>
    <w:p>
      <w:pPr>
        <w:spacing w:after="160"/>
      </w:pPr>
      <w:r>
        <w:t>Detection was 237/301 (78.7%, 95% CI 73.8–83.0) for the UGI series, 171/320 (53.4%, 48.0–58.8) for CT and 65/119 (54.6%, 45.7–63.3) for ultrasound (Table 2, Fig. 2) — indication-selected denominators drawn from overlapping groups, not a ranking of the tests. In the GEE model CT and ultrasound had lower odds of a positive report than the UGI series (odds ratio 0.31 [0.22–0.44] and 0.33 [0.21–0.50]; both p&lt;0.001), essentially unchanged after adjustment for era and age; these coefficients absorb indication, pathway position and examination content (Online Resource 2).</w:t>
      </w:r>
    </w:p>
    <w:p>
      <w:pPr>
        <w:spacing w:after="160"/>
      </w:pPr>
      <w:r>
        <w:t>Tentative phrasing was common and differed by modality (Table 2): 35.0% (UGI), 36.3% (CT) and 49.2% (ultrasound) of positive conclusions used possible wording, none a false positive since every child had confirmed disease. Reclassifying these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ure3_detection.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Not one documented D3 or the duodenojejunal junction (0/119, 0%; 95% CI 0–3.1); six (5.0%) mentioned the duodenum at all. Ten (8.4%) described the superior mesenteric artery–vein relationship, and only one (0.8%) stated explicitly that the vessels were inverted, although vessel inversion was one of the two criteria defining a positive ultrasound. One report recorded enteric fluid and four (3.4%) caecal position. By contrast, 59 (49.6%) recorded a whirlpool or spiral appearance, and bowel gas was reported as limiting the examination in 26 (21.8%).</w:t>
      </w:r>
    </w:p>
    <w:p>
      <w:pPr>
        <w:spacing w:after="160"/>
      </w:pPr>
      <w:r>
        <w:t>Detection followed this content almost deterministically: ultrasound reported malrotation in 59 of the 59 examinations documenting a whirlpool (100%, 95% CI 93.9–100) and 6 of the 60 without one (10.0%, 4.7–20.1), and all 10 reports describing the mesenteric-vessel relationship were positive. Detection was 70.5% (43/61) for great-vessel-coded examinations, 47.1% (32/68) for gastrointestinal-coded ones and 22.2% for nine bedside studies.</w:t>
      </w:r>
    </w:p>
    <w:p>
      <w:pPr>
        <w:spacing w:after="160"/>
      </w:pPr>
      <w:r>
        <w:t>The audits of CT and the UGI series show the same principle with different content (Online Resource 3): a mesenteric whirl was described in 36.2% of CT reports and the duodenojejunal junction in 54.5% of UGI reports, of which 98.3% and 98.2% were positive against 27.9% and 55.5% of those without. The UGI series was the only modality documenting the landmark that defines malrotation in most examinations.</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0 (0.0)</w:t>
            </w:r>
          </w:p>
        </w:tc>
        <w:tc>
          <w:tcPr>
            <w:tcW w:type="dxa" w:w="1560"/>
          </w:tcPr>
          <w:p>
            <w:r/>
            <w:r>
              <w:rPr>
                <w:rFonts w:ascii="Times New Roman" w:hAnsi="Times New Roman"/>
                <w:sz w:val="17"/>
              </w:rPr>
              <w:t>0.0</w:t>
            </w:r>
          </w:p>
        </w:tc>
        <w:tc>
          <w:tcPr>
            <w:tcW w:type="dxa" w:w="1560"/>
          </w:tcPr>
          <w:p>
            <w:r/>
            <w:r>
              <w:rPr>
                <w:rFonts w:ascii="Times New Roman" w:hAnsi="Times New Roman"/>
                <w:sz w:val="17"/>
              </w:rPr>
              <w:t>0.0</w:t>
            </w:r>
          </w:p>
        </w:tc>
        <w:tc>
          <w:tcPr>
            <w:tcW w:type="dxa" w:w="1560"/>
          </w:tcPr>
          <w:p>
            <w:r/>
            <w:r>
              <w:rPr>
                <w:rFonts w:ascii="Times New Roman" w:hAnsi="Times New Roman"/>
                <w:sz w:val="17"/>
              </w:rPr>
              <w:t>–</w:t>
            </w:r>
          </w:p>
        </w:tc>
        <w:tc>
          <w:tcPr>
            <w:tcW w:type="dxa" w:w="1560"/>
          </w:tcPr>
          <w:p>
            <w:r/>
            <w:r>
              <w:rPr>
                <w:rFonts w:ascii="Times New Roman" w:hAnsi="Times New Roman"/>
                <w:sz w:val="17"/>
              </w:rPr>
              <w:t>54.6</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administered</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0.0</w:t>
            </w:r>
          </w:p>
        </w:tc>
        <w:tc>
          <w:tcPr>
            <w:tcW w:type="dxa" w:w="1560"/>
          </w:tcPr>
          <w:p>
            <w:r/>
            <w:r>
              <w:rPr>
                <w:rFonts w:ascii="Times New Roman" w:hAnsi="Times New Roman"/>
                <w:sz w:val="17"/>
              </w:rPr>
              <w:t>55.1</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319910"/>
            <wp:docPr id="3" name="Picture 3"/>
            <wp:cNvGraphicFramePr>
              <a:graphicFrameLocks noChangeAspect="1"/>
            </wp:cNvGraphicFramePr>
            <a:graphic>
              <a:graphicData uri="http://schemas.openxmlformats.org/drawingml/2006/picture">
                <pic:pic>
                  <pic:nvPicPr>
                    <pic:cNvPr id="0" name="Figure4_us_audit.png"/>
                    <pic:cNvPicPr/>
                  </pic:nvPicPr>
                  <pic:blipFill>
                    <a:blip r:embed="rId11"/>
                    <a:stretch>
                      <a:fillRect/>
                    </a:stretch>
                  </pic:blipFill>
                  <pic:spPr>
                    <a:xfrm>
                      <a:off x="0" y="0"/>
                      <a:ext cx="6035040" cy="2319910"/>
                    </a:xfrm>
                    <a:prstGeom prst="rect"/>
                  </pic:spPr>
                </pic:pic>
              </a:graphicData>
            </a:graphic>
          </wp:inline>
        </w:drawing>
      </w:r>
    </w:p>
    <w:p>
      <w:pPr>
        <w:pStyle w:val="Heading2"/>
      </w:pPr>
      <w:r>
        <w:t>Detection changed over time, and the change tracked examination content</w:t>
      </w:r>
    </w:p>
    <w:p>
      <w:pPr>
        <w:spacing w:after="160"/>
      </w:pPr>
      <w:r>
        <w:t>Ultrasound detection was 41.0% (16/39) in 2012–2018 and 61.3% (49/80) in 2019–2026; CT 47.0% and 66.7%; UGI 77.1% and 82.3% (Table 4). For ultrasound this change was accounted for by a shift in how the examination was booked: great-vessel-coded studies rose from 28.2% to 62.5% (Fisher p&lt;0.001). Later era was associated with detection (odds ratio 2.27 [1.04–4.96], p=0.039); adding the great-vessel-coded indicator reduced the era term to 1.56 (0.67–3.62, p=0.30) while the indicator carried an odds ratio of 3.46 (1.56–7.67, p=0.002), and detection with such a study was similar in both eras (72.7% and 70.0%) against 28.6% and 46.7% without it. The coding shift tracked whirlpool documentation (35.8% of gastrointestinal-coded vs 63.0% of great-vessel-coded examinations) but not duodenal assessment (9.4% vs 2.2%).</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Great-vessel-coded examination 3.46 (1.56–7.67) (p=0.002)</w:t>
            </w:r>
          </w:p>
        </w:tc>
      </w:tr>
    </w:tbl>
    <w:p>
      <w:pPr>
        <w:spacing w:after="160"/>
      </w:pPr>
      <w:r>
        <w:rPr>
          <w:i/>
          <w:sz w:val="17"/>
        </w:rPr>
        <w:t>Modality-specific logistic models. For ultrasound the content variable is whether the examination was booked and reported under the abdominal great-vessel item rather than the gastrointestinal ultrasound item (great-vessel-coded); this is an ordering and reporting label, not a record of technique. For CT the variable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the populations this cohort does not describe</w:t>
      </w:r>
    </w:p>
    <w:p>
      <w:pPr>
        <w:spacing w:after="160"/>
      </w:pPr>
      <w:r>
        <w:t>Fifty-nine children underwent all three modalities: not a random sample but a subgroup in whom the diagnosis had remained uncertain, more severely and more recently affected than the rest (96.6% volvulus vs 86.6%; 83.1% neonates vs 65.5%). The UGI series was positive in 76.3%, ultrasound in 52.5% and CT in 47.5% (Cochran's Q p=0.001), unchanged when restricted to examinations within 48 h or 24 h of each other (Online Resource 2). Only 62 children (13.3%) had malrotation without volvulus, of whom 6 underwent ultrasound, so the cohort says very little about the children in whom the ultrasound-first debate is most active — older children with intermittent vomiting, incidental or non-volvulus malrotation, and stable outpatients —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and the duodenojejunal junction appeared in none of 119 examinations, the mesenteric-vessel relationship in 8.4%, enteric fluid in one. What the reports did contain was the whirlpool sign, in about half, and detection followed it almost perfectly. Ultrasound here functioned as a test for midgut volvulus: a child whose midgut was not actively twisted when scanned was unlikely to be identified.</w:t>
      </w:r>
    </w:p>
    <w:p>
      <w:pPr>
        <w:spacing w:after="160"/>
      </w:pPr>
      <w:r>
        <w:t>This reframes the most-cited number in our data. Ultrasound named malrotation in 54.6% of surgically confirmed children who underwent it, against published sensitivities of 93–97% [8, 9, 12, 19]. It would be wrong to read that as evidence that ultrasound performs poorly: the published figures came from examinations that assessed D3 and the duodenojejunal junction, often with enteric fluid, by readers alert to the diagnosis [12, 18, 20, 21]; ours, on the evidence of their own reports, did not. The 2021 systematic review anticipated this, finding better performance where the mesenteric vessels and enteric fluid were used [8].</w:t>
      </w:r>
    </w:p>
    <w:p>
      <w:pPr>
        <w:spacing w:after="160"/>
      </w:pPr>
      <w:r>
        <w:t>The temporal analysis points the same way. Detection improved from 41% to 61%, but not as a property of calendar time: once the shift toward great-vessel-coded examination was taken into account the era effect fell to a non-significant 1.56, the coding indicator carried an odds ratio of 3.46, and detection with such a study was about 70% in both eras. The department's account matches: it reports no equipment, staffing or protocol change, attributing the shift from about 2021 to growing awareness of the diagnosis. That awareness attached to the whirlpool sign rather than to duodenal anatomy, so even the improvement ran toward detecting volvulus rather than the duodenal assessment underpinning the published figures. The remaining gap to 93–97% is then plausibly attributable to the elements that still never appeared in the reports — D3, the duodenojejunal junction and enteric fluid [20, 21] — although whether adding them would close it is untestable here, and the counter-argument that D3 position alone cannot confidently diagnose malrotation deserves weight [22].</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confirmed the diagnosis — an incorporation bias asymmetrical between tests. Pathway position differed, the UGI series being the last examination before operation in 75% of children who received it. And the modalities were used in different children for different reasons (Table 1), which no adjustment can undo.</w:t>
      </w:r>
    </w:p>
    <w:p>
      <w:pPr>
        <w:spacing w:after="160"/>
      </w:pPr>
      <w:r>
        <w:t>This study does not rank modalities or resolve the ultrasound-first debate; it measures the distance between performance as established in the literature and as delivered by a real department's reports. Departments adopting an ultrasound-first pathway on the strength of 93–97% sensitivities should first establish that their own examinations resemble those that produced them. Awareness alone moved detection from 41% to 61% here but left the duodenal landmarks unexamined; a structured report requiring explicit statements about D3, the duodenojejunal junction, the vessel relationship and study adequacy would anchor what awareness achieved unevenly. Where such an examination cannot be delivered, a negative ultrasound should not exclude malrotation in a child with persistent suspicion.</w:t>
      </w:r>
    </w:p>
    <w:p>
      <w:pPr>
        <w:pStyle w:val="Heading2"/>
      </w:pPr>
      <w:r>
        <w:t>Limitations</w:t>
      </w:r>
    </w:p>
    <w:p>
      <w:pPr>
        <w:spacing w:after="160"/>
      </w:pPr>
      <w:r>
        <w:t>This is not a diagnostic accuracy study: the cohort was assembled on surgically confirmed disease, so specificity and predictive values cannot be estimated and the detection rates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Modality choice and the decision to operate were clinically entangled, and the 55 children without an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Validation rested on one adjudicator, comparisons were not adjusted for multiplicity, and radiation dose metrics could not be captured. Whether this single centre's deficit generalises is unknown.</w:t>
      </w:r>
    </w:p>
    <w:p>
      <w:pPr>
        <w:pStyle w:val="Heading1"/>
      </w:pPr>
      <w:r>
        <w:t>Conclusion</w:t>
      </w:r>
    </w:p>
    <w:p>
      <w:pPr>
        <w:spacing w:after="160"/>
      </w:pPr>
      <w:r>
        <w:t>Routine ultrasound reports for children with surgically confirmed intestinal malrotation essentially never documented the duodenal landmarks that underpin contemporary ultrasound accuracy, and detection tracked the whirlpool sign almost perfectly: ultrasound here was, in practice, a test for midgut volvulus rather than for malrotation, and its improvement over time followed a shift in examination type rather than the passage of time. These report-level detection rates establish no sensitivity, specificity or ranking of the modalities and should not be used to argue against ultrasound-first pathways. They argue instead that a department's own technique and reporting content determine whether published performance is achievable locally —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and the per-modality distribution of positive, negative and tentative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and availability of each preoperative index test. Every one of the 55 children who received none of the three index examinations nonetheless had other preoperative imaging;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do not constitute sensitivity.</w:t>
      </w:r>
    </w:p>
    <w:p>
      <w:pPr>
        <w:spacing w:after="160"/>
      </w:pPr>
      <w:r>
        <w:rPr>
          <w:b/>
        </w:rPr>
        <w:t>Fig. 3 Ultrasound report content and detection conditional on that content.</w:t>
      </w:r>
      <w:r>
        <w:t xml:space="preserve"> </w:t>
      </w:r>
      <w:r>
        <w:rPr>
          <w:b/>
        </w:rPr>
        <w:t>a</w:t>
      </w:r>
      <w:r>
        <w:t xml:space="preserve"> Documented content of the 119 ultrasound index reports. </w:t>
      </w:r>
      <w:r>
        <w:rPr>
          <w:b/>
        </w:rPr>
        <w:t>b</w:t>
      </w:r>
      <w:r>
        <w:t xml:space="preserve"> Report-level detection conditional on that content. No report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