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⟦AUTHORS: insert date, your institution's letterhead, and the corresponding author's name, affiliation, postal address, telephone and e-mail before submission.⟧</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 report-level audit of 740 preoperative examinations in 465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describe what ultrasound achieves under favourable conditions. What clinicians act on is the routine report issued during unselected care, and no study to our knowledge has examined at scale what such reports actually contain.</w:t>
      </w:r>
    </w:p>
    <w:p>
      <w:pPr>
        <w:spacing w:after="160"/>
      </w:pPr>
      <w:r>
        <w:t xml:space="preserve">We audited 13.5 years of routine reports at a tertiary children's hospital — 740 preoperative index examinations in 465 children with surgically confirmed malrotation — coding each report both for whether it named the diagnosis and for the technical elements it documented. The central finding is that </w:t>
      </w:r>
      <w:r>
        <w:rPr>
          <w:b/>
        </w:rPr>
        <w:t>not one of 119 ultrasound reports documented D3 or the duodenojejunal junction</w:t>
      </w:r>
      <w:r>
        <w:t>; the superior mesenteric artery–vein relationship appeared in 8.4% and enteric fluid in one report, whereas a whirlpool sign appeared in half. Detection tracked that content almost deterministically: ultrasound named malrotation in 59 of 59 examinations in which a whirlpool was recorded and in 6 of 60 in which it was not. In routine practice, ultrasound for malrotation functioned as a test for midgut volvulus rather than for the rotational anomaly itself.</w:t>
      </w:r>
    </w:p>
    <w:p>
      <w:pPr>
        <w:spacing w:after="160"/>
      </w:pPr>
      <w:r>
        <w:t>A second finding makes the first actionable. Ultrasound detection improved from 41% to 61% across the study period, and that improvement was not a property of calendar time: after adjustment for a shift toward examinations booked as abdominal great-vessel studies the era effect fell to a non-significant odds ratio of 1.56, while the coding indicator carried an odds ratio of 3.46, and detection with such a study was about 70% in both eras. The department's own account matches: it reports no change of equipment, staff or protocol over the period, and attributes the shift from about 2021 to growing awareness of the diagnosis — awareness that attached to the whirlpool sign rather than to duodenal anatomy, which is why detection rose while duodenal documentation did not. The gap between published and delivered ultrasound performance is therefore a gap in technique and reporting — measurable by audit, and correctable.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The practical message runs the other way: a department should audit its own reports before assuming the published figures apply locally, and a structured malrotation ultrasound report is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at other institutions; the audit is inexpensive to repeat wherever routine reports are stored electronically.</w:t>
      </w:r>
    </w:p>
    <w:p>
      <w:pPr>
        <w:spacing w:after="160"/>
      </w:pPr>
      <w:r>
        <w:t>⟦AUTHORS — optional paragraph, delete if you prefer not to disclose: An earlier version of this work, framed as a comparison of diagnostic performance between the three modalities, was reviewed elsewhere and not accepted. The reviewers' central objection — that a case-only cohort with three different, indication-selected denominators cannot support a comparative accuracy claim — was correct, and the present manuscript is a different study rather than a revision of that one: the research question, the primary analyses and the conclusions have all been rebuilt around what the reports document. We would be glad to supply the earlier reviews and our point-by-point response should that be useful to you.⟧</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⟦AUTHORS: corresponding author's name and signature block⟧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