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S1；S2.7–S2.10 为后补的四项敏感性分析，表 S16–S19）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volvulus, which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`analysis/hp_sens.py`（约 12 分钟，cluster bootstrap 2000 次），结果在补充材料 2 的 S2.7–S2.10 与表 S16–S19，主文只加了效应量和一句话。四项：(1)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位作者名单补全；其余条目在此前的外部核对中已确认。[28] El-Ali 等（Pediatr Radiol 2025;55:925-935）为 2026-10-09 新增，作者、期刊、卷页和文中引用的 25.7%（malrotation 分析，原始报告 80/311；volvulus 为 13.5%，86/637）已经检索核对。[24] Chapman 等（NegEx，J Biomed Inform 2001;34:301-310，DOI 10.1006/jbin.2001.1029）为 2026-10-10 新增，作者、卷页、DOI 已检索核对。[13] Nguyen 等讨论中引用的敏感度（malrotation 93%/97%，volvulus 97%/97%）经多次检索转述核对，与摘要一致。[19]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