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This is a question of clinical practice management, namely the content and quality of routine radiology reports, rather than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