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2,976 (Introduction through Take-Home Points; excluding abstract, references, tables and figure legends); Tables: 4; Figures: 3; Supplemental material: Supplements 1–4</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As the cohort was surgically confirmed, the outcome was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tentative wording.</w:t>
      </w:r>
    </w:p>
    <w:p>
      <w:pPr>
        <w:spacing w:after="160" w:line="480" w:lineRule="auto"/>
      </w:pPr>
      <w:r>
        <w:rPr>
          <w:b/>
        </w:rPr>
        <w:t>Discussion:</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to bowel necrosis within hours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Practice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describes these elements as demanding and not universally achievable, and D3 position alone as insufficient for diagnosis [18]. The 2020 ACR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on blinded re-reading and proposed a structured template [20]. To our knowledge, no study has examined at scale whether routine reports from a general pediatric ultrasound service document the elements to which this performance is attributed, or how documentation relates to whether the diagnosis is reported.</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the accuracy of the tests. The UGI series and CT are reported alongside ultrasound to show where ultrasound sat in the diagnostic pathway, not to rank them. The audit criteria are provided as a minimum reporting dataset (Supplement 4).</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[21]; STARD was not used because this is not a diagnostic accuracy design. The cohort includes no children in whom malrotation was suspected and excluded. The outcome is the </w:t>
      </w:r>
      <w:r>
        <w:rPr>
          <w:b/>
        </w:rPr>
        <w:t>report-level detection rate among surgically confirmed children who underwent the test</w:t>
      </w:r>
      <w:r>
        <w:t>. We avoid the term "sensitivity" because the rate does not transfer to children investigated for suspicion. Specificity, predictive values and any accuracy-based ranking cannot be estimated. The whirlpool sign indicates volvulus rather than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with an operative diagnosis of intestinal malrotation or a recorded Ladd procedure were selected (search strings in Supplement 1), giving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concerning an unrelated earlier illness were removed. This yielded 723 index examinations from 761 reports; 32 earlier repeat examinations were not audited (Figure 1). The clinical indication was not retrievable, so confounding by indication is shown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reported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common, so the certainty tier of every positive conclusion was tabulated and the analyses repeated with "possible" tiers counted as negative.</w:t>
      </w:r>
    </w:p>
    <w:p>
      <w:pPr>
        <w:spacing w:after="160" w:line="480" w:lineRule="auto"/>
      </w:pPr>
      <w:r>
        <w:t>Report text was classified using a rule-based, clause-level algorithm [23] with explicit negation handling [24] (Supplement 1). A pediatric surgeon, one of the authors, blinded to the operative findings, adjudicated 32 reports. Agreement was 92% (Cohen kappa 0.83, 95% CI 0.61–1.00) in a stratified random sample of 24; a targeted review of 8 suspected discordances found 5 further under-calls, excluded from the agreement statistics. A two-directional screen of every index examination then returned nine positives that no diagnostic term or sign pattern supported; source review confirmed three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Between-modality comparison used a generalized estimating equation (GEE) logistic model [25]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[26, 27].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documented before transfer in four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 17].</w:t>
      </w:r>
    </w:p>
    <w:p>
      <w:pPr>
        <w:spacing w:after="160" w:line="480" w:lineRule="auto"/>
      </w:pPr>
      <w:r>
        <w:t>The diagnosis was named in all 59 examinations recording a whirlpool and in 5 of the 58 without one (8.6%, 95% CI 3.7–18.6). This contrast is partly definitional because a whirlpool is itself a positivity criterion, although all 59 conclusions also named malrotation explicitly. A whirlpool was recorded in 59 of the 112 children (52.7%) who underwent ultrasound and had operatively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with surgically confirmed intestinal malrotation rarely recorded the duodenal anatomy to which contemporary ultrasound accuracy is attributed: D3 or the duodenojejunal junction in three of 117 examinations, enteric fluid in two. What they did record was the whirlpool sign, present in about half of all examinations and of the children with operatively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The 2025 multicenter series, which excluded non-diagnostic and equivocal examinations, reported 93–97% for malrotation and 97% for volvulus [13], and a meta-analysis pooled 94% [11], both in children investigated for suspicion. In a multi-institutional cohort, 25.7% of examinations for malrotation were non-diagnostic on the original report [28]. These figures are not interchangeable: ours is conditioned on confirmed disease and on the indications that selected these children, theirs on those exclusions, so the difference combines case mix, examination quality and technique in proportions this audit cannot separate. What the audit does show is that the elements to which published performance is attributed were almost never documented here: D3 [16, 17], the most accurate sign for malrotation in the 2025 series [13]; the duodenojejunal junction [12, 15]; and enteric fluid, which was associated with better performance in the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adjustment cannot correct.</w:t>
      </w:r>
    </w:p>
    <w:p>
      <w:pPr>
        <w:spacing w:after="160" w:line="480" w:lineRule="auto"/>
      </w:pPr>
      <w:r>
        <w:t>The low documentation may bear on departments adopting an ultrasound-first pathway based on sensitivities of 93–97%, and on revisions of the 2020 ACR guidance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and detection among surgically confirmed children who underwent a test does not transfer to children investigated for suspicion [11, 13, 14]. The cohort comprises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not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This is one audit cycle at one center, so whether the findings generalize, whether a structured report would raise documentation and whether documentation would raise detection are unknown.</w:t>
      </w:r>
    </w:p>
    <w:p>
      <w:pPr>
        <w:pStyle w:val="Heading1"/>
      </w:pPr>
      <w:r>
        <w:t>Take-Home Points</w:t>
      </w:r>
    </w:p>
    <w:p>
      <w:pPr>
        <w:spacing w:after="160" w:line="480" w:lineRule="auto"/>
      </w:pPr>
      <w:r>
        <w:t>• At one center, routine ultrasound reports for children with surgically confirmed malrotation (96% with volvulus) documented the duodenal landmarks emphasized by published series in 2.6% of 117 examinations.</w:t>
      </w:r>
    </w:p>
    <w:p>
      <w:pPr>
        <w:spacing w:after="160" w:line="480" w:lineRule="auto"/>
      </w:pPr>
      <w:r>
        <w:t>• Positive ultrasound reports almost always described a whirlpool (59 of 64), a sign of volvulus. It was recorded in 59 of the 112 ultrasound-examined children with volvulus.</w:t>
      </w:r>
    </w:p>
    <w:p>
      <w:pPr>
        <w:spacing w:after="160" w:line="480" w:lineRule="auto"/>
      </w:pPr>
      <w:r>
        <w:t>• These are report-level detection rates among surgically confirmed children, not sensitivities; they do not establish specificity, predictive value or ranking of modalities, and do not argue against ultrasound-first pathways.</w:t>
      </w:r>
    </w:p>
    <w:p>
      <w:pPr>
        <w:spacing w:after="160" w:line="480" w:lineRule="auto"/>
      </w:pPr>
      <w:r>
        <w:t>• Documentation, unlike accuracy, can be audited without a reference standard; the audit criteria are provided as a minimum reporting dataset, with this audit as the baseline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sensitivity analyses that vary the era boundary from 2019 to 2022, restrict midgut volvulus to a documented rotation of 360° or more, or take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Expert Panel on Pediatric Imaging; Alazraki AL, Rigsby CK, Iyer RS, et al. ACR Appropriateness Criteria® Vomiting in Infants. </w:t>
      </w:r>
      <w:r>
        <w:rPr>
          <w:i/>
          <w:sz w:val="20"/>
        </w:rPr>
        <w:t>J Am Coll Radiol</w:t>
      </w:r>
      <w:r>
        <w:rPr>
          <w:sz w:val="20"/>
        </w:rPr>
        <w:t>. 2020;17(11S):S505-S515. doi:10.1016/j.jacr.2020.09.002</w:t>
      </w:r>
    </w:p>
    <w:p>
      <w:pPr>
        <w:spacing w:after="60" w:line="480" w:lineRule="auto"/>
      </w:pPr>
      <w:r>
        <w:rPr>
          <w:sz w:val="20"/>
        </w:rPr>
        <w:t xml:space="preserve">20. Keenan LN, Sewchuran T. Audit of upper gastrointestinal tract series examinations for diagnosing intestinal malrotation in a resource-limited radiology department in Southern Africa. </w:t>
      </w:r>
      <w:r>
        <w:rPr>
          <w:i/>
          <w:sz w:val="20"/>
        </w:rPr>
        <w:t>Surg Pract Sci</w:t>
      </w:r>
      <w:r>
        <w:rPr>
          <w:sz w:val="20"/>
        </w:rPr>
        <w:t>. 2023;14:100183. doi:10.1016/j.sipas.2023.100183</w:t>
      </w:r>
    </w:p>
    <w:p>
      <w:pPr>
        <w:spacing w:after="60" w:line="480" w:lineRule="auto"/>
      </w:pPr>
      <w:r>
        <w:rPr>
          <w:sz w:val="20"/>
        </w:rPr>
        <w:t xml:space="preserve">21.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22.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23.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24. Chapman WW, Bridewell W, Hanbury P, Cooper GF, Buchanan BG. A simple algorithm for identifying negated findings and diseases in discharge summaries. </w:t>
      </w:r>
      <w:r>
        <w:rPr>
          <w:i/>
          <w:sz w:val="20"/>
        </w:rPr>
        <w:t>J Biomed Inform</w:t>
      </w:r>
      <w:r>
        <w:rPr>
          <w:sz w:val="20"/>
        </w:rPr>
        <w:t>. 2001;34:301-310. doi:10.1006/jbin.2001.1029</w:t>
      </w:r>
    </w:p>
    <w:p>
      <w:pPr>
        <w:spacing w:after="60" w:line="480" w:lineRule="auto"/>
      </w:pPr>
      <w:r>
        <w:rPr>
          <w:sz w:val="20"/>
        </w:rPr>
        <w:t xml:space="preserve">25.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26. Firth D. Bias reduction of maximum likelihood estimates. </w:t>
      </w:r>
      <w:r>
        <w:rPr>
          <w:i/>
          <w:sz w:val="20"/>
        </w:rPr>
        <w:t>Biometrika</w:t>
      </w:r>
      <w:r>
        <w:rPr>
          <w:sz w:val="20"/>
        </w:rPr>
        <w:t>. 1993;80:27-38. doi:10.1093/biomet/80.1.27</w:t>
      </w:r>
    </w:p>
    <w:p>
      <w:pPr>
        <w:spacing w:after="60" w:line="480" w:lineRule="auto"/>
      </w:pPr>
      <w:r>
        <w:rPr>
          <w:sz w:val="20"/>
        </w:rPr>
        <w:t xml:space="preserve">27.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28.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Flow of 711 children in the clinical research database through selection of 503 operative records in 465 children, exclusions after review of the anchor operation, availability of each preoperative index test, and reduction of 793 eligible preoperative reports to 723 index examination episodes. All 52 children who received none of the three index examinations had other preoperative imaging (documented before transfer in four);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