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2,994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Graphical Abstract</w:t>
      </w:r>
      <w:r>
        <w:t xml:space="preserve"> —— `Graphical_Abstract.tif`（备份 `Graphical_Abstract.png`）</w:t>
      </w:r>
    </w:p>
    <w:p>
      <w:pPr>
        <w:spacing w:after="160"/>
      </w:pPr>
      <w:r>
        <w:t>单幅 300 dpi、RGB、LZW 压缩 TIFF，4052 × 1813 px。图上已注明本研究为 case-only 设计、这些是报告层面检出率而非敏感度——单独看到这张图的人不会误读成敏感度。</w:t>
      </w:r>
    </w:p>
    <w:p>
      <w:pPr>
        <w:spacing w:after="160"/>
      </w:pPr>
      <w:r>
        <w:rPr>
          <w:b/>
        </w:rPr>
        <w:t>投稿前请在系统里确认这一项</w:t>
      </w:r>
      <w:r>
        <w:t>：Insights into Imaging 的官方页面（springeropen、journals.myesr.org、i3-journal.org）在制作时均无法访问，检索到的两处说法一处称「所有投稿必交」、一处称「可选、按期刊模板」。文件已备好，无论哪种都能直接上传；若系统要求套用期刊自己的模板，把这张图作为内容填进模板即可。</w:t>
      </w:r>
    </w:p>
    <w:p>
      <w:pPr>
        <w:spacing w:after="160"/>
      </w:pPr>
      <w:r>
        <w:rPr>
          <w:b/>
        </w:rPr>
        <w:t>6.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7.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（Editorial Manager 在「Additional Information」步骤的 Questionnaire 里问，不是简单三个空框，三条各有固定要求，字数按空格分词计，系统会实时显示字符数）：</w:t>
      </w:r>
    </w:p>
    <w:p>
      <w:pPr>
        <w:spacing w:after="160"/>
      </w:pPr>
      <w:r>
        <w:t>Key Point 1 – Question（说明研究要解决的临床未满足需求，20–25 词，限 300 字符）：</w:t>
      </w:r>
    </w:p>
    <w:p>
      <w:pPr>
        <w:spacing w:after="160"/>
      </w:pPr>
      <w:r>
        <w:t>Intestinal malrotation with volvulus is a surgical emergency; ultrasound is advocated as first-line imaging based on sensitivities from dedicated protocols, not routine reporting.</w:t>
      </w:r>
    </w:p>
    <w:p>
      <w:pPr>
        <w:spacing w:after="160"/>
      </w:pPr>
      <w:r>
        <w:t>（23 词，179 字符）</w:t>
      </w:r>
    </w:p>
    <w:p>
      <w:pPr>
        <w:spacing w:after="160"/>
      </w:pPr>
      <w:r>
        <w:t>Key Point 2 – Findings（客观总结主要结果，20–25 词，限 300 字符）：</w:t>
      </w:r>
    </w:p>
    <w:p>
      <w:pPr>
        <w:spacing w:after="160"/>
      </w:pPr>
      <w:r>
        <w:t>Among 410 surgically confirmed children, routine ultrasound reports documented duodenal landmarks in only 2.5% of examinations; detection tracked the whirlpool sign almost exclusively.</w:t>
      </w:r>
    </w:p>
    <w:p>
      <w:pPr>
        <w:spacing w:after="160"/>
      </w:pPr>
      <w:r>
        <w:t>（23 词，184 字符）</w:t>
      </w:r>
    </w:p>
    <w:p>
      <w:pPr>
        <w:spacing w:after="160"/>
      </w:pPr>
      <w:r>
        <w:t>Key Point 3 – Critical Relevance Statement（说明本文如何批判性评估一个问题、如何推动临床放射学实践，≤40 词，限 450 字符）：</w:t>
      </w:r>
    </w:p>
    <w:p>
      <w:pPr>
        <w:spacing w:after="160"/>
      </w:pPr>
      <w:r>
        <w:t>Departments adopting ultrasound-first pathways for malrotation should audit whether their own reports document the duodenal landmarks that produced the published sensitivities; in this department they almost never did.</w:t>
      </w:r>
    </w:p>
    <w:p>
      <w:pPr>
        <w:spacing w:after="160"/>
      </w:pPr>
      <w:r>
        <w:t>（28 词，218 字符）</w:t>
      </w:r>
    </w:p>
    <w:p>
      <w:pPr>
        <w:spacing w:after="160"/>
      </w:pPr>
      <w:r>
        <w:t>Key Point 3 与摘要里的 Critical relevance statement 是同一句话，逐字一致——系统这样设计就是要求两者对应，不用另外改写。</w:t>
      </w:r>
    </w:p>
    <w:p>
      <w:pPr>
        <w:spacing w:after="160"/>
      </w:pPr>
      <w:r>
        <w:rPr>
          <w:b/>
        </w:rPr>
        <w:t>系统原话提醒</w:t>
      </w:r>
      <w:r>
        <w:t>："Please also add the same key points into the main text file."——上面三句已经逐字写进正文 Key Points 节（正文 `诊断效能_英文稿_InsightsIntoImaging投稿版_v4.docx`），两边一致，不需要再手动同步。</w:t>
      </w:r>
    </w:p>
    <w:p>
      <w:pPr>
        <w:spacing w:after="160"/>
      </w:pPr>
      <w:r>
        <w:rPr>
          <w:b/>
        </w:rPr>
        <w:t>Authors</w:t>
      </w:r>
      <w:r>
        <w:t>（按顺序录入，共 10 位；第一作者 Jun Shu，通讯作者 Jun Yang）：</w:t>
      </w:r>
    </w:p>
    <w:p>
      <w:pPr>
        <w:spacing w:after="160"/>
      </w:pPr>
      <w:r>
        <w:t>1. Jun Shu — 单位 ①（第一作者）</w:t>
      </w:r>
    </w:p>
    <w:p>
      <w:pPr>
        <w:spacing w:after="160"/>
      </w:pPr>
      <w:r>
        <w:t>2. Guanghua Zhang — 单位 ①</w:t>
      </w:r>
    </w:p>
    <w:p>
      <w:pPr>
        <w:spacing w:after="160"/>
      </w:pPr>
      <w:r>
        <w:t>3. Fei Peng — 单位 ①</w:t>
      </w:r>
    </w:p>
    <w:p>
      <w:pPr>
        <w:spacing w:after="160"/>
      </w:pPr>
      <w:r>
        <w:t>4. Kai Zheng — 单位 ①</w:t>
      </w:r>
    </w:p>
    <w:p>
      <w:pPr>
        <w:spacing w:after="160"/>
      </w:pPr>
      <w:r>
        <w:t>5. Hongxi Guo — 单位 ①</w:t>
      </w:r>
    </w:p>
    <w:p>
      <w:pPr>
        <w:spacing w:after="160"/>
      </w:pPr>
      <w:r>
        <w:t>6. Haiyan Lei — 单位 ①</w:t>
      </w:r>
    </w:p>
    <w:p>
      <w:pPr>
        <w:spacing w:after="160"/>
      </w:pPr>
      <w:r>
        <w:t>7. Haibin Wang — 单位 ①</w:t>
      </w:r>
    </w:p>
    <w:p>
      <w:pPr>
        <w:spacing w:after="160"/>
      </w:pPr>
      <w:r>
        <w:t>8. Zhengliang Meng — 单位 ②</w:t>
      </w:r>
    </w:p>
    <w:p>
      <w:pPr>
        <w:spacing w:after="160"/>
      </w:pPr>
      <w:r>
        <w:t>9. Hongqiang Bian — 单位 ①</w:t>
      </w:r>
    </w:p>
    <w:p>
      <w:pPr>
        <w:spacing w:after="160"/>
      </w:pPr>
      <w:r>
        <w:t>10. Jun Yang 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ORCID</w:t>
      </w:r>
      <w:r>
        <w:t>：仅 Jun Shu（0009-0001-3003-1452）与 Jun Yang（0009-0006-0669-4340）已知；其余八位若有 ORCID，在系统里各自补填，非必填。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2,994 词，摘要 248 词，Critical relevance statement 28 词。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三条按 Question（23 词）/ Findings（23 词）/ Critical Relevance Statement（28 词，与摘要 CRS 逐字相同，按设计如此）分别填入 Additional Information 问卷，且已逐字写进正文 Key Points 节。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5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