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Online Resource 3. Content audit of the CT and upper gastrointestinal series index reports</w:t>
      </w:r>
    </w:p>
    <w:p>
      <w:pPr>
        <w:spacing w:after="160"/>
      </w:pPr>
      <w:r>
        <w:t>Supplement to the same manuscript.</w:t>
      </w:r>
    </w:p>
    <w:p>
      <w:pPr>
        <w:spacing w:after="160"/>
      </w:pPr>
      <w:r>
        <w:rPr>
          <w:b/>
        </w:rPr>
        <w:t>Table S7. Documented content of the CT and upper gastrointestinal series index examinations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7"/>
              </w:rPr>
              <w:t>Modality</w:t>
            </w:r>
          </w:p>
        </w:tc>
        <w:tc>
          <w:tcPr>
            <w:tcW w:type="dxa" w:w="1872"/>
          </w:tcPr>
          <w:p>
            <w:r/>
            <w:r>
              <w:rPr>
                <w:rFonts w:ascii="Times New Roman" w:hAnsi="Times New Roman"/>
                <w:b/>
                <w:sz w:val="17"/>
              </w:rPr>
              <w:t>Documented content</w:t>
            </w:r>
          </w:p>
        </w:tc>
        <w:tc>
          <w:tcPr>
            <w:tcW w:type="dxa" w:w="1872"/>
          </w:tcPr>
          <w:p>
            <w:r/>
            <w:r>
              <w:rPr>
                <w:rFonts w:ascii="Times New Roman" w:hAnsi="Times New Roman"/>
                <w:b/>
                <w:sz w:val="17"/>
              </w:rPr>
              <w:t>n (%) of reports</w:t>
            </w:r>
          </w:p>
        </w:tc>
        <w:tc>
          <w:tcPr>
            <w:tcW w:type="dxa" w:w="1872"/>
          </w:tcPr>
          <w:p>
            <w:r/>
            <w:r>
              <w:rPr>
                <w:rFonts w:ascii="Times New Roman" w:hAnsi="Times New Roman"/>
                <w:b/>
                <w:sz w:val="17"/>
              </w:rPr>
              <w:t>Detection when documented</w:t>
            </w:r>
          </w:p>
        </w:tc>
        <w:tc>
          <w:tcPr>
            <w:tcW w:type="dxa" w:w="1872"/>
          </w:tcPr>
          <w:p>
            <w:r/>
            <w:r>
              <w:rPr>
                <w:rFonts w:ascii="Times New Roman" w:hAnsi="Times New Roman"/>
                <w:b/>
                <w:sz w:val="17"/>
              </w:rPr>
              <w:t>Detection when not documented</w:t>
            </w:r>
          </w:p>
        </w:tc>
      </w:tr>
      <w:tr>
        <w:tc>
          <w:tcPr>
            <w:tcW w:type="dxa" w:w="1872"/>
          </w:tcPr>
          <w:p>
            <w:r/>
            <w:r>
              <w:rPr>
                <w:rFonts w:ascii="Times New Roman" w:hAnsi="Times New Roman"/>
                <w:sz w:val="17"/>
              </w:rPr>
              <w:t>Abdominal CT (n=320)</w:t>
            </w:r>
          </w:p>
        </w:tc>
        <w:tc>
          <w:tcPr>
            <w:tcW w:type="dxa" w:w="1872"/>
          </w:tcPr>
          <w:p>
            <w:r/>
            <w:r>
              <w:rPr>
                <w:rFonts w:ascii="Times New Roman" w:hAnsi="Times New Roman"/>
                <w:sz w:val="17"/>
              </w:rPr>
              <w:t>Contrast enhancement</w:t>
            </w:r>
          </w:p>
        </w:tc>
        <w:tc>
          <w:tcPr>
            <w:tcW w:type="dxa" w:w="1872"/>
          </w:tcPr>
          <w:p>
            <w:r/>
            <w:r>
              <w:rPr>
                <w:rFonts w:ascii="Times New Roman" w:hAnsi="Times New Roman"/>
                <w:sz w:val="17"/>
              </w:rPr>
              <w:t>52 (16.2)</w:t>
            </w:r>
          </w:p>
        </w:tc>
        <w:tc>
          <w:tcPr>
            <w:tcW w:type="dxa" w:w="1872"/>
          </w:tcPr>
          <w:p>
            <w:r/>
            <w:r>
              <w:rPr>
                <w:rFonts w:ascii="Times New Roman" w:hAnsi="Times New Roman"/>
                <w:sz w:val="17"/>
              </w:rPr>
              <w:t>44/52 (85%)</w:t>
            </w:r>
          </w:p>
        </w:tc>
        <w:tc>
          <w:tcPr>
            <w:tcW w:type="dxa" w:w="1872"/>
          </w:tcPr>
          <w:p>
            <w:r/>
            <w:r>
              <w:rPr>
                <w:rFonts w:ascii="Times New Roman" w:hAnsi="Times New Roman"/>
                <w:sz w:val="17"/>
              </w:rPr>
              <w:t>127/268 (47%)</w:t>
            </w:r>
          </w:p>
        </w:tc>
      </w:tr>
      <w:tr>
        <w:tc>
          <w:tcPr>
            <w:tcW w:type="dxa" w:w="1872"/>
          </w:tcPr>
          <w:p>
            <w:r/>
            <w:r>
              <w:rPr>
                <w:rFonts w:ascii="Times New Roman" w:hAnsi="Times New Roman"/>
                <w:sz w:val="17"/>
              </w:rPr>
              <w:t>Abdominal CT (n=320)</w:t>
            </w:r>
          </w:p>
        </w:tc>
        <w:tc>
          <w:tcPr>
            <w:tcW w:type="dxa" w:w="1872"/>
          </w:tcPr>
          <w:p>
            <w:r/>
            <w:r>
              <w:rPr>
                <w:rFonts w:ascii="Times New Roman" w:hAnsi="Times New Roman"/>
                <w:sz w:val="17"/>
              </w:rPr>
              <w:t>Mesenteric whirl</w:t>
            </w:r>
          </w:p>
        </w:tc>
        <w:tc>
          <w:tcPr>
            <w:tcW w:type="dxa" w:w="1872"/>
          </w:tcPr>
          <w:p>
            <w:r/>
            <w:r>
              <w:rPr>
                <w:rFonts w:ascii="Times New Roman" w:hAnsi="Times New Roman"/>
                <w:sz w:val="17"/>
              </w:rPr>
              <w:t>116 (36.2)</w:t>
            </w:r>
          </w:p>
        </w:tc>
        <w:tc>
          <w:tcPr>
            <w:tcW w:type="dxa" w:w="1872"/>
          </w:tcPr>
          <w:p>
            <w:r/>
            <w:r>
              <w:rPr>
                <w:rFonts w:ascii="Times New Roman" w:hAnsi="Times New Roman"/>
                <w:sz w:val="17"/>
              </w:rPr>
              <w:t>114/116 (98%)</w:t>
            </w:r>
          </w:p>
        </w:tc>
        <w:tc>
          <w:tcPr>
            <w:tcW w:type="dxa" w:w="1872"/>
          </w:tcPr>
          <w:p>
            <w:r/>
            <w:r>
              <w:rPr>
                <w:rFonts w:ascii="Times New Roman" w:hAnsi="Times New Roman"/>
                <w:sz w:val="17"/>
              </w:rPr>
              <w:t>57/204 (28%)</w:t>
            </w:r>
          </w:p>
        </w:tc>
      </w:tr>
      <w:tr>
        <w:tc>
          <w:tcPr>
            <w:tcW w:type="dxa" w:w="1872"/>
          </w:tcPr>
          <w:p>
            <w:r/>
            <w:r>
              <w:rPr>
                <w:rFonts w:ascii="Times New Roman" w:hAnsi="Times New Roman"/>
                <w:sz w:val="17"/>
              </w:rPr>
              <w:t>Abdominal CT (n=320)</w:t>
            </w:r>
          </w:p>
        </w:tc>
        <w:tc>
          <w:tcPr>
            <w:tcW w:type="dxa" w:w="1872"/>
          </w:tcPr>
          <w:p>
            <w:r/>
            <w:r>
              <w:rPr>
                <w:rFonts w:ascii="Times New Roman" w:hAnsi="Times New Roman"/>
                <w:sz w:val="17"/>
              </w:rPr>
              <w:t>Duodenum mentioned</w:t>
            </w:r>
          </w:p>
        </w:tc>
        <w:tc>
          <w:tcPr>
            <w:tcW w:type="dxa" w:w="1872"/>
          </w:tcPr>
          <w:p>
            <w:r/>
            <w:r>
              <w:rPr>
                <w:rFonts w:ascii="Times New Roman" w:hAnsi="Times New Roman"/>
                <w:sz w:val="17"/>
              </w:rPr>
              <w:t>73 (22.8)</w:t>
            </w:r>
          </w:p>
        </w:tc>
        <w:tc>
          <w:tcPr>
            <w:tcW w:type="dxa" w:w="1872"/>
          </w:tcPr>
          <w:p>
            <w:r/>
            <w:r>
              <w:rPr>
                <w:rFonts w:ascii="Times New Roman" w:hAnsi="Times New Roman"/>
                <w:sz w:val="17"/>
              </w:rPr>
              <w:t>43/73 (59%)</w:t>
            </w:r>
          </w:p>
        </w:tc>
        <w:tc>
          <w:tcPr>
            <w:tcW w:type="dxa" w:w="1872"/>
          </w:tcPr>
          <w:p>
            <w:r/>
            <w:r>
              <w:rPr>
                <w:rFonts w:ascii="Times New Roman" w:hAnsi="Times New Roman"/>
                <w:sz w:val="17"/>
              </w:rPr>
              <w:t>128/247 (52%)</w:t>
            </w:r>
          </w:p>
        </w:tc>
      </w:tr>
      <w:tr>
        <w:tc>
          <w:tcPr>
            <w:tcW w:type="dxa" w:w="1872"/>
          </w:tcPr>
          <w:p>
            <w:r/>
            <w:r>
              <w:rPr>
                <w:rFonts w:ascii="Times New Roman" w:hAnsi="Times New Roman"/>
                <w:sz w:val="17"/>
              </w:rPr>
              <w:t>Abdominal CT (n=320)</w:t>
            </w:r>
          </w:p>
        </w:tc>
        <w:tc>
          <w:tcPr>
            <w:tcW w:type="dxa" w:w="1872"/>
          </w:tcPr>
          <w:p>
            <w:r/>
            <w:r>
              <w:rPr>
                <w:rFonts w:ascii="Times New Roman" w:hAnsi="Times New Roman"/>
                <w:sz w:val="17"/>
              </w:rPr>
              <w:t>Mesenteric-vessel relationship</w:t>
            </w:r>
          </w:p>
        </w:tc>
        <w:tc>
          <w:tcPr>
            <w:tcW w:type="dxa" w:w="1872"/>
          </w:tcPr>
          <w:p>
            <w:r/>
            <w:r>
              <w:rPr>
                <w:rFonts w:ascii="Times New Roman" w:hAnsi="Times New Roman"/>
                <w:sz w:val="17"/>
              </w:rPr>
              <w:t>43 (13.4)</w:t>
            </w:r>
          </w:p>
        </w:tc>
        <w:tc>
          <w:tcPr>
            <w:tcW w:type="dxa" w:w="1872"/>
          </w:tcPr>
          <w:p>
            <w:r/>
            <w:r>
              <w:rPr>
                <w:rFonts w:ascii="Times New Roman" w:hAnsi="Times New Roman"/>
                <w:sz w:val="17"/>
              </w:rPr>
              <w:t>36/43 (84%)</w:t>
            </w:r>
          </w:p>
        </w:tc>
        <w:tc>
          <w:tcPr>
            <w:tcW w:type="dxa" w:w="1872"/>
          </w:tcPr>
          <w:p>
            <w:r/>
            <w:r>
              <w:rPr>
                <w:rFonts w:ascii="Times New Roman" w:hAnsi="Times New Roman"/>
                <w:sz w:val="17"/>
              </w:rPr>
              <w:t>135/277 (49%)</w:t>
            </w:r>
          </w:p>
        </w:tc>
      </w:tr>
      <w:tr>
        <w:tc>
          <w:tcPr>
            <w:tcW w:type="dxa" w:w="1872"/>
          </w:tcPr>
          <w:p>
            <w:r/>
            <w:r>
              <w:rPr>
                <w:rFonts w:ascii="Times New Roman" w:hAnsi="Times New Roman"/>
                <w:sz w:val="17"/>
              </w:rPr>
              <w:t>Abdominal CT (n=320)</w:t>
            </w:r>
          </w:p>
        </w:tc>
        <w:tc>
          <w:tcPr>
            <w:tcW w:type="dxa" w:w="1872"/>
          </w:tcPr>
          <w:p>
            <w:r/>
            <w:r>
              <w:rPr>
                <w:rFonts w:ascii="Times New Roman" w:hAnsi="Times New Roman"/>
                <w:sz w:val="17"/>
              </w:rPr>
              <w:t>Three-dimensional reconstruction</w:t>
            </w:r>
          </w:p>
        </w:tc>
        <w:tc>
          <w:tcPr>
            <w:tcW w:type="dxa" w:w="1872"/>
          </w:tcPr>
          <w:p>
            <w:r/>
            <w:r>
              <w:rPr>
                <w:rFonts w:ascii="Times New Roman" w:hAnsi="Times New Roman"/>
                <w:sz w:val="17"/>
              </w:rPr>
              <w:t>124 (38.8)</w:t>
            </w:r>
          </w:p>
        </w:tc>
        <w:tc>
          <w:tcPr>
            <w:tcW w:type="dxa" w:w="1872"/>
          </w:tcPr>
          <w:p>
            <w:r/>
            <w:r>
              <w:rPr>
                <w:rFonts w:ascii="Times New Roman" w:hAnsi="Times New Roman"/>
                <w:sz w:val="17"/>
              </w:rPr>
              <w:t>79/124 (64%)</w:t>
            </w:r>
          </w:p>
        </w:tc>
        <w:tc>
          <w:tcPr>
            <w:tcW w:type="dxa" w:w="1872"/>
          </w:tcPr>
          <w:p>
            <w:r/>
            <w:r>
              <w:rPr>
                <w:rFonts w:ascii="Times New Roman" w:hAnsi="Times New Roman"/>
                <w:sz w:val="17"/>
              </w:rPr>
              <w:t>92/196 (47%)</w:t>
            </w:r>
          </w:p>
        </w:tc>
      </w:tr>
      <w:tr>
        <w:tc>
          <w:tcPr>
            <w:tcW w:type="dxa" w:w="1872"/>
          </w:tcPr>
          <w:p>
            <w:r/>
            <w:r>
              <w:rPr>
                <w:rFonts w:ascii="Times New Roman" w:hAnsi="Times New Roman"/>
                <w:sz w:val="17"/>
              </w:rPr>
              <w:t>Upper gastrointestinal series (n=301)</w:t>
            </w:r>
          </w:p>
        </w:tc>
        <w:tc>
          <w:tcPr>
            <w:tcW w:type="dxa" w:w="1872"/>
          </w:tcPr>
          <w:p>
            <w:r/>
            <w:r>
              <w:rPr>
                <w:rFonts w:ascii="Times New Roman" w:hAnsi="Times New Roman"/>
                <w:sz w:val="17"/>
              </w:rPr>
              <w:t>Duodenojejunal junction</w:t>
            </w:r>
          </w:p>
        </w:tc>
        <w:tc>
          <w:tcPr>
            <w:tcW w:type="dxa" w:w="1872"/>
          </w:tcPr>
          <w:p>
            <w:r/>
            <w:r>
              <w:rPr>
                <w:rFonts w:ascii="Times New Roman" w:hAnsi="Times New Roman"/>
                <w:sz w:val="17"/>
              </w:rPr>
              <w:t>154 (51.2)</w:t>
            </w:r>
          </w:p>
        </w:tc>
        <w:tc>
          <w:tcPr>
            <w:tcW w:type="dxa" w:w="1872"/>
          </w:tcPr>
          <w:p>
            <w:r/>
            <w:r>
              <w:rPr>
                <w:rFonts w:ascii="Times New Roman" w:hAnsi="Times New Roman"/>
                <w:sz w:val="17"/>
              </w:rPr>
              <w:t>153/154 (99%)</w:t>
            </w:r>
          </w:p>
        </w:tc>
        <w:tc>
          <w:tcPr>
            <w:tcW w:type="dxa" w:w="1872"/>
          </w:tcPr>
          <w:p>
            <w:r/>
            <w:r>
              <w:rPr>
                <w:rFonts w:ascii="Times New Roman" w:hAnsi="Times New Roman"/>
                <w:sz w:val="17"/>
              </w:rPr>
              <w:t>84/147 (57%)</w:t>
            </w:r>
          </w:p>
        </w:tc>
      </w:tr>
      <w:tr>
        <w:tc>
          <w:tcPr>
            <w:tcW w:type="dxa" w:w="1872"/>
          </w:tcPr>
          <w:p>
            <w:r/>
            <w:r>
              <w:rPr>
                <w:rFonts w:ascii="Times New Roman" w:hAnsi="Times New Roman"/>
                <w:sz w:val="17"/>
              </w:rPr>
              <w:t>Upper gastrointestinal series (n=301)</w:t>
            </w:r>
          </w:p>
        </w:tc>
        <w:tc>
          <w:tcPr>
            <w:tcW w:type="dxa" w:w="1872"/>
          </w:tcPr>
          <w:p>
            <w:r/>
            <w:r>
              <w:rPr>
                <w:rFonts w:ascii="Times New Roman" w:hAnsi="Times New Roman"/>
                <w:sz w:val="17"/>
              </w:rPr>
              <w:t>Corkscrew / spring appearance</w:t>
            </w:r>
          </w:p>
        </w:tc>
        <w:tc>
          <w:tcPr>
            <w:tcW w:type="dxa" w:w="1872"/>
          </w:tcPr>
          <w:p>
            <w:r/>
            <w:r>
              <w:rPr>
                <w:rFonts w:ascii="Times New Roman" w:hAnsi="Times New Roman"/>
                <w:sz w:val="17"/>
              </w:rPr>
              <w:t>140 (46.5)</w:t>
            </w:r>
          </w:p>
        </w:tc>
        <w:tc>
          <w:tcPr>
            <w:tcW w:type="dxa" w:w="1872"/>
          </w:tcPr>
          <w:p>
            <w:r/>
            <w:r>
              <w:rPr>
                <w:rFonts w:ascii="Times New Roman" w:hAnsi="Times New Roman"/>
                <w:sz w:val="17"/>
              </w:rPr>
              <w:t>140/140 (100%)</w:t>
            </w:r>
          </w:p>
        </w:tc>
        <w:tc>
          <w:tcPr>
            <w:tcW w:type="dxa" w:w="1872"/>
          </w:tcPr>
          <w:p>
            <w:r/>
            <w:r>
              <w:rPr>
                <w:rFonts w:ascii="Times New Roman" w:hAnsi="Times New Roman"/>
                <w:sz w:val="17"/>
              </w:rPr>
              <w:t>97/161 (60%)</w:t>
            </w:r>
          </w:p>
        </w:tc>
      </w:tr>
      <w:tr>
        <w:tc>
          <w:tcPr>
            <w:tcW w:type="dxa" w:w="1872"/>
          </w:tcPr>
          <w:p>
            <w:r/>
            <w:r>
              <w:rPr>
                <w:rFonts w:ascii="Times New Roman" w:hAnsi="Times New Roman"/>
                <w:sz w:val="17"/>
              </w:rPr>
              <w:t>Upper gastrointestinal series (n=301)</w:t>
            </w:r>
          </w:p>
        </w:tc>
        <w:tc>
          <w:tcPr>
            <w:tcW w:type="dxa" w:w="1872"/>
          </w:tcPr>
          <w:p>
            <w:r/>
            <w:r>
              <w:rPr>
                <w:rFonts w:ascii="Times New Roman" w:hAnsi="Times New Roman"/>
                <w:sz w:val="17"/>
              </w:rPr>
              <w:t>Jejunal position</w:t>
            </w:r>
          </w:p>
        </w:tc>
        <w:tc>
          <w:tcPr>
            <w:tcW w:type="dxa" w:w="1872"/>
          </w:tcPr>
          <w:p>
            <w:r/>
            <w:r>
              <w:rPr>
                <w:rFonts w:ascii="Times New Roman" w:hAnsi="Times New Roman"/>
                <w:sz w:val="17"/>
              </w:rPr>
              <w:t>213 (70.8)</w:t>
            </w:r>
          </w:p>
        </w:tc>
        <w:tc>
          <w:tcPr>
            <w:tcW w:type="dxa" w:w="1872"/>
          </w:tcPr>
          <w:p>
            <w:r/>
            <w:r>
              <w:rPr>
                <w:rFonts w:ascii="Times New Roman" w:hAnsi="Times New Roman"/>
                <w:sz w:val="17"/>
              </w:rPr>
              <w:t>200/213 (94%)</w:t>
            </w:r>
          </w:p>
        </w:tc>
        <w:tc>
          <w:tcPr>
            <w:tcW w:type="dxa" w:w="1872"/>
          </w:tcPr>
          <w:p>
            <w:r/>
            <w:r>
              <w:rPr>
                <w:rFonts w:ascii="Times New Roman" w:hAnsi="Times New Roman"/>
                <w:sz w:val="17"/>
              </w:rPr>
              <w:t>37/88 (42%)</w:t>
            </w:r>
          </w:p>
        </w:tc>
      </w:tr>
      <w:tr>
        <w:tc>
          <w:tcPr>
            <w:tcW w:type="dxa" w:w="1872"/>
          </w:tcPr>
          <w:p>
            <w:r/>
            <w:r>
              <w:rPr>
                <w:rFonts w:ascii="Times New Roman" w:hAnsi="Times New Roman"/>
                <w:sz w:val="17"/>
              </w:rPr>
              <w:t>Upper gastrointestinal series (n=301)</w:t>
            </w:r>
          </w:p>
        </w:tc>
        <w:tc>
          <w:tcPr>
            <w:tcW w:type="dxa" w:w="1872"/>
          </w:tcPr>
          <w:p>
            <w:r/>
            <w:r>
              <w:rPr>
                <w:rFonts w:ascii="Times New Roman" w:hAnsi="Times New Roman"/>
                <w:sz w:val="17"/>
              </w:rPr>
              <w:t>Caecal position</w:t>
            </w:r>
          </w:p>
        </w:tc>
        <w:tc>
          <w:tcPr>
            <w:tcW w:type="dxa" w:w="1872"/>
          </w:tcPr>
          <w:p>
            <w:r/>
            <w:r>
              <w:rPr>
                <w:rFonts w:ascii="Times New Roman" w:hAnsi="Times New Roman"/>
                <w:sz w:val="17"/>
              </w:rPr>
              <w:t>200 (66.4)</w:t>
            </w:r>
          </w:p>
        </w:tc>
        <w:tc>
          <w:tcPr>
            <w:tcW w:type="dxa" w:w="1872"/>
          </w:tcPr>
          <w:p>
            <w:r/>
            <w:r>
              <w:rPr>
                <w:rFonts w:ascii="Times New Roman" w:hAnsi="Times New Roman"/>
                <w:sz w:val="17"/>
              </w:rPr>
              <w:t>180/200 (90%)</w:t>
            </w:r>
          </w:p>
        </w:tc>
        <w:tc>
          <w:tcPr>
            <w:tcW w:type="dxa" w:w="1872"/>
          </w:tcPr>
          <w:p>
            <w:r/>
            <w:r>
              <w:rPr>
                <w:rFonts w:ascii="Times New Roman" w:hAnsi="Times New Roman"/>
                <w:sz w:val="17"/>
              </w:rPr>
              <w:t>57/101 (56%)</w:t>
            </w:r>
          </w:p>
        </w:tc>
      </w:tr>
      <w:tr>
        <w:tc>
          <w:tcPr>
            <w:tcW w:type="dxa" w:w="1872"/>
          </w:tcPr>
          <w:p>
            <w:r/>
            <w:r>
              <w:rPr>
                <w:rFonts w:ascii="Times New Roman" w:hAnsi="Times New Roman"/>
                <w:sz w:val="17"/>
              </w:rPr>
              <w:t>Upper gastrointestinal series (n=301)</w:t>
            </w:r>
          </w:p>
        </w:tc>
        <w:tc>
          <w:tcPr>
            <w:tcW w:type="dxa" w:w="1872"/>
          </w:tcPr>
          <w:p>
            <w:r/>
            <w:r>
              <w:rPr>
                <w:rFonts w:ascii="Times New Roman" w:hAnsi="Times New Roman"/>
                <w:sz w:val="17"/>
              </w:rPr>
              <w:t>Whole-gastrointestinal study</w:t>
            </w:r>
          </w:p>
        </w:tc>
        <w:tc>
          <w:tcPr>
            <w:tcW w:type="dxa" w:w="1872"/>
          </w:tcPr>
          <w:p>
            <w:r/>
            <w:r>
              <w:rPr>
                <w:rFonts w:ascii="Times New Roman" w:hAnsi="Times New Roman"/>
                <w:sz w:val="17"/>
              </w:rPr>
              <w:t>286 (95.0)</w:t>
            </w:r>
          </w:p>
        </w:tc>
        <w:tc>
          <w:tcPr>
            <w:tcW w:type="dxa" w:w="1872"/>
          </w:tcPr>
          <w:p>
            <w:r/>
            <w:r>
              <w:rPr>
                <w:rFonts w:ascii="Times New Roman" w:hAnsi="Times New Roman"/>
                <w:sz w:val="17"/>
              </w:rPr>
              <w:t>224/286 (78%)</w:t>
            </w:r>
          </w:p>
        </w:tc>
        <w:tc>
          <w:tcPr>
            <w:tcW w:type="dxa" w:w="1872"/>
          </w:tcPr>
          <w:p>
            <w:r/>
            <w:r>
              <w:rPr>
                <w:rFonts w:ascii="Times New Roman" w:hAnsi="Times New Roman"/>
                <w:sz w:val="17"/>
              </w:rPr>
              <w:t>13/15 (87%)</w:t>
            </w:r>
          </w:p>
        </w:tc>
      </w:tr>
      <w:tr>
        <w:tc>
          <w:tcPr>
            <w:tcW w:type="dxa" w:w="1872"/>
          </w:tcPr>
          <w:p>
            <w:r/>
            <w:r>
              <w:rPr>
                <w:rFonts w:ascii="Times New Roman" w:hAnsi="Times New Roman"/>
                <w:sz w:val="17"/>
              </w:rPr>
              <w:t>Upper gastrointestinal series (n=301)</w:t>
            </w:r>
          </w:p>
        </w:tc>
        <w:tc>
          <w:tcPr>
            <w:tcW w:type="dxa" w:w="1872"/>
          </w:tcPr>
          <w:p>
            <w:r/>
            <w:r>
              <w:rPr>
                <w:rFonts w:ascii="Times New Roman" w:hAnsi="Times New Roman"/>
                <w:sz w:val="17"/>
              </w:rPr>
              <w:t>Barium used</w:t>
            </w:r>
          </w:p>
        </w:tc>
        <w:tc>
          <w:tcPr>
            <w:tcW w:type="dxa" w:w="1872"/>
          </w:tcPr>
          <w:p>
            <w:r/>
            <w:r>
              <w:rPr>
                <w:rFonts w:ascii="Times New Roman" w:hAnsi="Times New Roman"/>
                <w:sz w:val="17"/>
              </w:rPr>
              <w:t>17 (5.6)</w:t>
            </w:r>
          </w:p>
        </w:tc>
        <w:tc>
          <w:tcPr>
            <w:tcW w:type="dxa" w:w="1872"/>
          </w:tcPr>
          <w:p>
            <w:r/>
            <w:r>
              <w:rPr>
                <w:rFonts w:ascii="Times New Roman" w:hAnsi="Times New Roman"/>
                <w:sz w:val="17"/>
              </w:rPr>
              <w:t>16/17 (94%)</w:t>
            </w:r>
          </w:p>
        </w:tc>
        <w:tc>
          <w:tcPr>
            <w:tcW w:type="dxa" w:w="1872"/>
          </w:tcPr>
          <w:p>
            <w:r/>
            <w:r>
              <w:rPr>
                <w:rFonts w:ascii="Times New Roman" w:hAnsi="Times New Roman"/>
                <w:sz w:val="17"/>
              </w:rPr>
              <w:t>221/284 (78%)</w:t>
            </w:r>
          </w:p>
        </w:tc>
      </w:tr>
    </w:tbl>
    <w:p>
      <w:pPr>
        <w:spacing w:after="160"/>
      </w:pPr>
    </w:p>
    <w:p>
      <w:pPr>
        <w:spacing w:after="160"/>
      </w:pPr>
      <w:r>
        <w:t>Content was coded from the findings and conclusion text of each index examination episode using the patterns in Online Resource 1, Section H. Detection percentages are report-level detection among surgically confirmed children, conditional on whether the element was documented. The CT row "Duodenum mentioned" counts any mention of the duodenum in the report text and is not a record that duodenal position was assessed. As with the ultrasound audit in the main manuscript, these are associations within routine reports and are not adjusted for indication, age or era; a report describing a mesenteric whirl is, unsurprisingly, a report likely to conclude that malrotation is present, and the value of the tabulation is in showing how often each element was documented at all.</w:t>
      </w:r>
    </w:p>
    <w:p>
      <w:pPr>
        <w:spacing w:after="160"/>
      </w:pPr>
      <w:r>
        <w:t>Two observations are worth noting alongside the ultrasound findings. First, the upper gastrointestinal series was the only modality whose routine reports documented the anatomical landmark that defines malrotation — the duodenojejunal junction — in about half of examinations (51.2%), and jejunal position in 70.8%. Second, the mesenteric whirl was documented in only 36.2% of CT examinations, and contrast enhancement, which is what renders the whirl visible, was used in only 16.2%; the two together account for most of the observed CT detection 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