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3 September 2026</w:t>
      </w:r>
    </w:p>
    <w:p>
      <w:pPr>
        <w:spacing w:after="160"/>
      </w:pPr>
      <w:r>
        <w:t>The Editor-in-Chief</w:t>
      </w:r>
    </w:p>
    <w:p>
      <w:pPr>
        <w:spacing w:after="160"/>
      </w:pPr>
      <w:r>
        <w:rPr>
          <w:i/>
        </w:rPr>
        <w:t>Insights into Imaging</w:t>
      </w:r>
    </w:p>
    <w:p>
      <w:pPr>
        <w:spacing w:after="160"/>
      </w:pPr>
      <w:r>
        <w:t>Dear Editor,</w:t>
      </w:r>
    </w:p>
    <w:p>
      <w:pPr>
        <w:spacing w:after="160"/>
      </w:pPr>
      <w:r>
        <w:t xml:space="preserve">We are pleased to submit our Original Article, "Routine ultrasound reports for intestinal malrotation rarely document duodenal landmarks: a report-level audit of 740 preoperative examinations in 465 surgically confirmed children", for consideration by </w:t>
      </w:r>
      <w:r>
        <w:rPr>
          <w:i/>
        </w:rPr>
        <w:t>Insights into Imaging</w:t>
      </w:r>
      <w:r>
        <w:t>.</w:t>
      </w:r>
    </w:p>
    <w:p>
      <w:pPr>
        <w:spacing w:after="160"/>
      </w:pPr>
      <w:r>
        <w:t>Ultrasound is increasingly advocated as the first-line investigation for suspected intestinal malrotation, on the strength of studies reporting sensitivities of 93–97% when the third portion of the duodenum (D3), the duodenojejunal junction and the mesenteric vessels are assessed under a dedicated protocol. Those figures describe what ultrasound achieves under favourable conditions. What clinicians act on is the routine report issued during unselected care, and no study to our knowledge has examined at scale what such reports actually contain.</w:t>
      </w:r>
    </w:p>
    <w:p>
      <w:pPr>
        <w:spacing w:after="160"/>
      </w:pPr>
      <w:r>
        <w:t xml:space="preserve">We audited 13.5 years of routine reports at a tertiary children's hospital — 740 preoperative index examinations in 465 children with surgically confirmed malrotation — coding each report both for whether it named the diagnosis and for the technical elements it documented. The central finding is that </w:t>
      </w:r>
      <w:r>
        <w:rPr>
          <w:b/>
        </w:rPr>
        <w:t>only two of 119 ultrasound reports (1.7%) documented D3 or the duodenojejunal junction</w:t>
      </w:r>
      <w:r>
        <w:t>; the superior mesenteric artery–vein relationship appeared in 8.4% and recorded enteric fluid administration in two reports, whereas a whirlpool sign appeared in half. Detection tracked that content almost deterministically: ultrasound named malrotation in 59 of 59 examinations in which a whirlpool was recorded and in 6 of 60 in which it was not. In routine practice, ultrasound for malrotation functioned as a test for midgut volvulus rather than for the rotational anomaly itself.</w:t>
      </w:r>
    </w:p>
    <w:p>
      <w:pPr>
        <w:spacing w:after="160"/>
      </w:pPr>
      <w:r>
        <w:t>A second finding makes the first actionable. Ultrasound detection improved from 41% to 61% across the study period, and that improvement was not a property of calendar time: after adjustment for a shift toward examinations booked as abdominal great-vessel studies the era effect fell to a non-significant odds ratio of 1.56, while the coding indicator carried an odds ratio of 3.46, and detection with such a study was about 70% in both eras. The department's own account matches: it reports no change of equipment, staff or protocol over the period, and attributes the shift from about 2021 to growing awareness of the diagnosis — awareness that attached to the whirlpool sign rather than to duodenal anatomy, which is why detection rose while duodenal documentation did not. The gap between published and delivered ultrasound performance is therefore a gap in technique and reporting — measurable by audit, and correctable.</w:t>
      </w:r>
    </w:p>
    <w:p>
      <w:pPr>
        <w:spacing w:after="160"/>
      </w:pPr>
      <w:r>
        <w:t xml:space="preserve">We believe this fits the scope of </w:t>
      </w:r>
      <w:r>
        <w:rPr>
          <w:i/>
        </w:rPr>
        <w:t>Insights into Imaging</w:t>
      </w:r>
      <w:r>
        <w:t xml:space="preserve"> because its contribution is to radiological practice rather than to diagnostic test evaluation. We are explicit about what the design cannot support: the cohort consists only of surgically confirmed cases, so the study estimates report-level detection and not sensitivity, and specificity, predictive values and any ranking of ultrasound, CT and the upper gastrointestinal series are neither estimable nor claimed. We have used the term "detection rate" throughout, followed STROBE rather than STARD, displayed the confounding by indication rather than adjusting it away, and stated in the Conclusion that these data should not be used to argue against ultrasound-first pathways. The practical message runs the other way: a department should audit its own reports before assuming the published figures apply locally, and a structured malrotation ultrasound report is a low-cost way to make such a deficit visible prospectively.</w:t>
      </w:r>
    </w:p>
    <w:p>
      <w:pPr>
        <w:spacing w:after="160"/>
      </w:pPr>
      <w:r>
        <w:t>The complete text-classification rule set, the report-content audit patterns, the between-modality models and the subgroup analyses are provided as three Online Resources so that the method can be replicated at other institutions; the audit is inexpensive to repeat wherever routine reports are stored electronically.</w:t>
      </w:r>
    </w:p>
    <w:p>
      <w:pPr>
        <w:spacing w:after="160"/>
      </w:pPr>
      <w:r>
        <w:t>An earlier version of this work, framed as a comparison of diagnostic performance between the three modalities, was reviewed elsewhere and not accepted. The reviewers' central objection — that a case-only cohort with three different, indication-selected denominators cannot support a comparative accuracy claim — was correct, and the present manuscript is a different study rather than a revision of that one: the research question, the primary analyses and the conclusions have all been rebuilt around what the reports document. We would be glad to supply the earlier reviews and our point-by-point response should that be useful to you.</w:t>
      </w:r>
    </w:p>
    <w:p>
      <w:pPr>
        <w:spacing w:after="160"/>
      </w:pPr>
      <w:r>
        <w:t>The manuscript is original, is not under consideration elsewhere, and all authors have approved the submission and agree to be accountable for the work. The study was approved by the institutional review board with waiver of informed consent. The authors declare no competing interests. Funding, author contributions and the ethics approval number are given on the title page.</w:t>
      </w:r>
    </w:p>
    <w:p>
      <w:pPr>
        <w:spacing w:after="160"/>
      </w:pPr>
      <w:r>
        <w:t>Thank you for considering our work.</w:t>
      </w:r>
    </w:p>
    <w:p>
      <w:pPr>
        <w:spacing w:after="160"/>
      </w:pPr>
      <w:r>
        <w:t>Yours sincerely,</w:t>
      </w:r>
    </w:p>
    <w:p>
      <w:pPr>
        <w:spacing w:after="160"/>
      </w:pPr>
      <w:r>
        <w:t>Jun Yang, MD</w:t>
      </w:r>
    </w:p>
    <w:p>
      <w:pPr>
        <w:spacing w:after="160"/>
      </w:pPr>
      <w:r>
        <w:t>On behalf of all authors (Jun Shu,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