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2,996 (Introduction through Take-Home Points; excluding abstract, references, tables and figure legends); Tables: 4; Figures: 3; Supplemental material: Supplements 1–3</w:t>
      </w:r>
    </w:p>
    <w:p>
      <w:pPr>
        <w:pStyle w:val="Heading1"/>
      </w:pPr>
      <w:r>
        <w:t>Abstract</w:t>
      </w:r>
    </w:p>
    <w:p>
      <w:pPr>
        <w:spacing w:after="160" w:line="480" w:lineRule="auto"/>
      </w:pPr>
      <w:r>
        <w:rPr>
          <w:b/>
        </w:rPr>
        <w:t>Objective:</w:t>
      </w:r>
      <w:r>
        <w:t xml:space="preserve"> Ultrasound is increasingly advocated as first-line for suspected intestinal malrotation, based on sensitivities of 93–97% under dedicated protocols. We audited what routine reports document and whether the diagnosis was reported.</w:t>
      </w:r>
    </w:p>
    <w:p>
      <w:pPr>
        <w:spacing w:after="160" w:line="480" w:lineRule="auto"/>
      </w:pPr>
      <w:r>
        <w:rPr>
          <w:b/>
        </w:rPr>
        <w:t>Methods:</w:t>
      </w:r>
      <w:r>
        <w:t xml:space="preserve"> Retrospective case-only report audit at one tertiary children's hospital (December 2012–June 2026). Preoperative examination episodes closest to operation were classified for detection by a rule-based algorithm with blinded surgical adjudication, and separately audited for documented technical content (ultrasound by two independent readers). The cohort being surgically confirmed, the outcome is report-level detection among children who underwent the test;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documented the third portion of the duodenum or the duodenojejunal junction, 3 (2.6%) the mesenteric artery–vein relationship and 2 (1.7%) enteric fluid; a whirlpool sign was reported in 50.4%. Ultrasound reported malrotation in 64 of 117 examinations (54.7%): in 59 of 59 recording a whirlpool and 5 of 58 without one, whereas a whirlpool appeared in only 59 of 112 children with confirmed volvulus. Ultrasound detection rose from 42.1% to 60.8% between eras (+18.7 percentage points, 95% CI −0.2 to +37.7); adjusting for a shift toward great-vessel sessions reduced it to +8.4.</w:t>
      </w:r>
    </w:p>
    <w:p>
      <w:pPr>
        <w:spacing w:after="160" w:line="480" w:lineRule="auto"/>
      </w:pPr>
      <w:r>
        <w:rPr>
          <w:b/>
        </w:rPr>
        <w:t>Discussion:</w:t>
      </w:r>
      <w:r>
        <w:t xml:space="preserve"> Routine ultrasound functioned as a whirlpool-dependent test for volvulus rather than a protocolized assessment of duodenal position. Whether the missing elements would close the gap to published performance cannot be tested here, but the deficit is measurable.</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within hours to bowel necrosis,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CT is not a dedicated test, and the mesenteric swirl it may show is neither reliably present nor specific in children [9, 10]. The field has moved toward ultrasound: series report sensitivities of 93–97% under dedicated protocols,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line="480" w:lineRule="auto"/>
      </w:pPr>
      <w:r>
        <w:t>Those studies describe what ultrasound achieves under favorable conditions; clinicians act on the routine report issued during unselected care. To our knowledge, no study has examined the content of routine malrotation ultrasound reports at scale, or related it to whether the diagnosis was reported.</w:t>
      </w:r>
    </w:p>
    <w:p>
      <w:pPr>
        <w:spacing w:after="160" w:line="480" w:lineRule="auto"/>
      </w:pPr>
      <w:r>
        <w:t>We therefore audited 13.5 years of routine reports at a tertiary children's hospital. Because every child had surgically confirmed malrotation, the study measures how often the disease was reported and with what documented content, not how accurate the tests are. The contrast series and CT are reported alongside ultrasound to show where ultrasound sat in the diagnostic pathway, not to rank them.</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Malrotation, midgut volvulus and malrotation with volvulus are distinguished throughout; the whirlpool sign is a sign of volvulus rather than of malrotation [20].</w:t>
      </w:r>
    </w:p>
    <w:p>
      <w:pPr>
        <w:pStyle w:val="Heading2"/>
      </w:pPr>
      <w:r>
        <w:t>Participants, reference standard and index tests</w:t>
      </w:r>
    </w:p>
    <w:p>
      <w:pPr>
        <w:spacing w:after="160" w:line="480" w:lineRule="auto"/>
      </w:pPr>
      <w:r>
        <w:t>We searched the institutional surgical records database for operations performed between December 2012 and June 2026 in which the operative diagnosis named intestinal malrotation or the procedure was recorded as a Ladd procedure, and reviewed every record retrieved (search strings in Supplement 1). Of 559 operative records in 499 children, 503 records in 465 children met this criterion. All operative records were re-read for 34 children whose anchor operation was not named as a malrotation procedure or followed earlier malrotation surgery, and 15 were excluded: 6 in whom that operation did not confirm malrotation and 9 reoperations after earlier malrotation surgery. The remaining 450 consecutive children form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for an unrelated earlier illness were removed. This yielded 723 index examinations from 761 reports; 32 earlier repeat examinations were not audited (Figure 1). The clinical indication on each request was not retrievable, so confounding by indication is displayed through the characteristics of each modality group (Table 1) rather than adjusted for.</w:t>
      </w:r>
    </w:p>
    <w:p>
      <w:pPr>
        <w:spacing w:after="160" w:line="480" w:lineRule="auto"/>
      </w:pPr>
      <w:r>
        <w:t>Examinations were reported during routine care by radiologists unaware of the operative findings but not blinded to clinical history or previous imaging, within the general pediatric ultrasound service rather than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line="480" w:lineRule="auto"/>
      </w:pPr>
      <w:r>
        <w:t>Each ultrasound index unit was coded by two readers, an ultrasound physician and a pediatric surgeon, working independently from the findings and conclusion text against written criteria for twelve elements, from D3 and the duodenojejunal junction to the whirlpool sign and limiting bowel gas (Table 3).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and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we report how often conclusions named the diagnosis outright. Tentative phrasing is standard here, so the certainty tier of every positive conclusion was tabulated and the analyses repeated with "possible" tiers counted as negative.</w:t>
      </w:r>
    </w:p>
    <w:p>
      <w:pPr>
        <w:spacing w:after="160" w:line="480" w:lineRule="auto"/>
      </w:pPr>
      <w:r>
        <w:t>Report text was classified using a rule-based, clause-level algorithm with explicit negation handling [21] (rules, label distribution and worked misclassification examples in Supplement 1). A pediatric surgeon blinded to the operative findings adjudicated 32 reports: agreement was 92% (Cohen kappa 0.83) in a stratified random sample of 24, and a targeted review of 8 suspected discordances found 5 further under-calls, excluded from the agreement statistics. A two-directional screen of every index unit then returned nine positives that no diagnostic term or sign pattern supported, three of which source review confirmed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confidence intervals (CIs). All analysis variables were complete. Between-modality comparison used a generalized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underwent each test. A pre-specified modality-by-volvulus interaction was not estimable in the three-modality model, as no ultrasound examination was positive among the five children without volvulus; the estimable UGI-versus-CT interaction and a Firth penalized estimate of the separated contrast are given in Supplement 2 [23, 24]. In the subgroup that underwent all three modalities, detection was compared using Cochran's Q, the exact McNemar test and paired differences with bootstrap CIs (Supplement 2). The temporal change was examined using modality-specific logistic models of detection on era, before and after adding that modality's content variable, reported as odds ratios and as average marginal effects (Table 4); the era boundary was varied from 2019 to 2022. Attenuation was interpreted descriptively, not as a mediation estimate; era-by-content interactions were also fitted. P values were not adjusted for multiplicity, and Supplement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in four it was documented before transfer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UGI series was the last preoperative test in 75.0% of those who received it against 19.2% for CT, and detection was higher in that position (80.0% vs 70.0% for the UGI series), a feature of the pathway rather than of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These indication-selected, overlapping denominators are not a ranking. CT and ultrasound had lower odds of a positive report than the UGI series (adjusted odds ratio 0.29 and 0.27), and the same model showed higher detection above 1 year of age (3.52, 1.82–6.80) and in the later era (1.79, 1.18–2.71); these coefficients absorb indication, pathway position and examination content (Supplement 2). Reclassifying possible-tier conclusions as negative reduced detection to 50.5%, 32.9% and 27.4% (Table 2).</w:t>
      </w:r>
    </w:p>
    <w:p>
      <w:pPr>
        <w:pStyle w:val="Heading2"/>
      </w:pPr>
      <w:r>
        <w:t>Documented content of ultrasound examinations</w:t>
      </w:r>
    </w:p>
    <w:p>
      <w:pPr>
        <w:spacing w:after="160" w:line="480" w:lineRule="auto"/>
      </w:pPr>
      <w:r>
        <w:t>Of the 117 ultrasound index examinations, three (2.6%; 95% CI 0.9–7.3) documented D3 or the duodenojejunal junction and seven (6.0%) mentioned the duodenum (Table 3, Figure 3). Three (2.6%) stated the mesenteric artery–vein relationship, and one stated that the vessels were inverted, although inversion was one of the two positivity criteria. Enteric fluid was recorded twice and graded compression once; a whirlpool was reported in 59 examinations (50.4%) and bowel gas limited 36 (30.8%). Reader agreement was 1,423 of 1,428 item codes (kappa 0.80–1.00; Supplement 1).</w:t>
      </w:r>
    </w:p>
    <w:p>
      <w:pPr>
        <w:spacing w:after="160" w:line="480" w:lineRule="auto"/>
      </w:pPr>
      <w:r>
        <w:t>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line="480" w:lineRule="auto"/>
      </w:pPr>
      <w:r>
        <w:t>Detection followed this content closely. Malrotation was reported in 59 of the 59 examinations recording a whirlpool and in 5 of the 58 without one (8.6%, 95% CI 3.7–18.6). This contrast is partly definitional, as a whirlpool is itself a positivity criterion, and all 59 of those conclusions named malrotation or volvulus explicitly. The converse is more informative: a whirlpool was recorded in only 59 of the 112 children (52.7%) in whom operation confirmed midgut volvulus.</w:t>
      </w:r>
    </w:p>
    <w:p>
      <w:pPr>
        <w:pStyle w:val="Heading2"/>
      </w:pPr>
      <w:r>
        <w:t>Change in detection over time</w:t>
      </w:r>
    </w:p>
    <w:p>
      <w:pPr>
        <w:spacing w:after="160" w:line="480" w:lineRule="auto"/>
      </w:pPr>
      <w:r>
        <w:t>Ultrasound detection was 42.1% (16/38) in 2012–2018 and 60.8% (48/79) in 2019–2026, a difference of +18.7 percentage points (95% CI −0.2 to +37.7) that is itself imprecise; detection rose for CT but not the UGI series (Table 4). For ultrasound the change tracked how the examination was booked. Sessions including a great-vessel study rose from 34.2% to 68.4%, and adding this indicator reduced the era effect to +8.4 (−10.6 to +29.2) percentage points, the indicator carrying an odds ratio of 3.51 (1.56–7.87). Moving the era boundary from 2019 to 2022 left the examination-type odds ratio between 3.21 and 4.04, while the era odds ratio ranged from 2.66 to 1.17 (Supplement 2). The era-by-booking interaction was not significant, in small subgroups. The change in booking tracked whirlpool reporting but not duodenal assessment. CT showed a comparable change that contrast enhancement explained only in part (Table 4).</w:t>
      </w:r>
    </w:p>
    <w:p>
      <w:pPr>
        <w:pStyle w:val="Heading2"/>
      </w:pPr>
      <w:r>
        <w:t>Selected subgroup and populations not represented</w:t>
      </w:r>
    </w:p>
    <w:p>
      <w:pPr>
        <w:spacing w:after="160" w:line="480" w:lineRule="auto"/>
      </w:pPr>
      <w:r>
        <w:t>Fifty-nine children underwent all three modalities. This subgroup, in whom the diagnosis remained uncertain, was more severely affected than the other 339 imaged children (volvulus 96.6% vs 87.9%; neonates 83.1% vs 67.3%). The UGI series was positive in 76.3%, ultrasound in 52.5% and CT in 45.8% (Cochran's Q p&lt;0.001; UGI series minus CT +30.5 percentage points, 95% CI +13.6 to +47.5; CT minus ultrasound −6.8, −20.3 to +8.5), unchanged within 48 h (Supplement 2). These comparisons describe reporting within one selected subgroup and are not measures of accuracy.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13.5 years, routine ultrasound reports for children who proved to have intestinal malrotation rarely recorded the duodenal anatomy on which contemporary ultrasound accuracy depends: D3 or the duodenojejunal junction in three of 117 examinations, enteric fluid in two. The finding they did record was the whirlpool sign, present in about half of all examinations and of the children in whom operation confirmed volvulus. In this setting ultrasound functioned as an imperfect test for midgut volvulus.</w:t>
      </w:r>
    </w:p>
    <w:p>
      <w:pPr>
        <w:spacing w:after="160" w:line="480" w:lineRule="auto"/>
      </w:pPr>
      <w:r>
        <w:t>Malrotation was reported in 54.7% of the surgically confirmed children who underwent ultrasound, compared with 93% (original reports) and 97% (blinded review) in the 2025 multicenter series, which excluded non-diagnostic and equivocal examinations [13], and a pooled 94% in meta-analysis [11], both in children investigated for suspicion. These figures are not interchangeable: ours is conditioned on confirmed disease and on the indications that selected these children, so the difference combines case-mix with technique. The audit nonetheless shows the technical component to be real. The published figures derive from examinations that assessed D3, the most accurate single sign in the 2025 multicenter series [13], and the duodenojejunal junction, often with enteric fluid, in readers alert to the diagnosis [15–17], whereas ours almost never did. The 2021 systematic review likewise found better performance where enteric fluid was given before the examination [11].</w:t>
      </w:r>
    </w:p>
    <w:p>
      <w:pPr>
        <w:spacing w:after="160" w:line="480" w:lineRule="auto"/>
      </w:pPr>
      <w:r>
        <w:t>The temporal analysis is consistent with this interpretation without establishing it. Detection rose from 42% to 61%, an imprecise difference that adding the great-vessel indicator more than halved on the risk-difference scale, whereas the examination-type effect was stable at every boundary tested. Booking was not randomized: a child suspected of volvulus is both more likely to be booked for a vessel study and more likely to have a whirlpool, so indication and technique cannot be separated here, and both marginal effects have intervals that include zero. The department's account is consistent: growing awareness from about 2021 attached to the whirlpool sign rather than to duodenal anatomy, so that the improvement also ran toward volvulus.</w:t>
      </w:r>
    </w:p>
    <w:p>
      <w:pPr>
        <w:spacing w:after="160" w:line="480" w:lineRule="auto"/>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an incorporation bias asymmetrical between tests. Pathway position differed, the UGI series usually being the last preoperative test. The modalities were also used in different children for different reasons (Table 1), which no adjustment can undo.</w:t>
      </w:r>
    </w:p>
    <w:p>
      <w:pPr>
        <w:spacing w:after="160" w:line="480" w:lineRule="auto"/>
      </w:pPr>
      <w:r>
        <w:t>Departments adopting an ultrasound-first pathway on the basis of sensitivities of 93–97% should first establish that their examinations resemble those that produced them. Here detection rose over the period of reported growing awareness while the duodenal landmarks remained largely unexamined. A structured report requiring explicit statements on D3, the duodenojejunal junction and study adequacy would make this gap auditable. Where such an examination cannot be delivered, a negative ultrasound should not be taken to exclude malrotation.</w:t>
      </w:r>
    </w:p>
    <w:p>
      <w:pPr>
        <w:pStyle w:val="Heading2"/>
      </w:pPr>
      <w:r>
        <w:t>Limitations</w:t>
      </w:r>
    </w:p>
    <w:p>
      <w:pPr>
        <w:spacing w:after="160" w:line="480" w:lineRule="auto"/>
      </w:pPr>
      <w:r>
        <w:t>This is not a diagnostic accuracy study: detection among surgically confirmed children who underwent a test does not transfer to children investigated for suspicion [11, 13, 14]. The cohort contains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an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rather than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The temporal analysis was not pre-specified, the examination-type variable having been identified after inspection of the data, and is best regarded as hypothesis-generating. Radiation dose could not be captured, and whether the deficit at this center generalizes is unknown.</w:t>
      </w:r>
    </w:p>
    <w:p>
      <w:pPr>
        <w:pStyle w:val="Heading1"/>
      </w:pPr>
      <w:r>
        <w:t>Take-Home Points</w:t>
      </w:r>
    </w:p>
    <w:p>
      <w:pPr>
        <w:spacing w:after="160" w:line="480" w:lineRule="auto"/>
      </w:pPr>
      <w:r>
        <w:t>• Routine ultrasound reports for children with surgically confirmed malrotation documented the duodenal landmarks underpinning published accuracy in 2.6% of examinations and reported the diagnosis almost only when a whirlpool sign was present.</w:t>
      </w:r>
    </w:p>
    <w:p>
      <w:pPr>
        <w:spacing w:after="160" w:line="480" w:lineRule="auto"/>
      </w:pPr>
      <w:r>
        <w:t>• In practice, routine ultrasound served as a test for volvulus rather than for malrotation: a whirlpool sign was recorded in only 59 of 112 children in whom operation confirmed volvulus.</w:t>
      </w:r>
    </w:p>
    <w:p>
      <w:pPr>
        <w:spacing w:after="160" w:line="480" w:lineRule="auto"/>
      </w:pPr>
      <w:r>
        <w:t>• These are report-level detection rates among surgically confirmed children, not sensitivities; they establish no specificity, predictive value or ranking of modalities, and are no argument against ultrasound-first pathways.</w:t>
      </w:r>
    </w:p>
    <w:p>
      <w:pPr>
        <w:spacing w:after="160" w:line="480" w:lineRule="auto"/>
      </w:pPr>
      <w:r>
        <w:t>• Before assuming that published ultrasound performance applies locally, departments should audit whether their own reports document the duodenal landmarks; a structured report would make the gap auditable.</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(`Supplement_1_classifier.py`),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line="480" w:lineRule="auto"/>
      </w:pPr>
      <w:r>
        <w:rPr>
          <w:b/>
        </w:rPr>
        <w:t>Supplement 3.</w:t>
      </w:r>
      <w:r>
        <w:t xml:space="preserve"> Content audit of the 313 CT and 293 upper gastrointestinal series index examinations, with detection conditional on documented content.</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20.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21.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22.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23. Firth D. Bias reduction of maximum likelihood estimates. </w:t>
      </w:r>
      <w:r>
        <w:rPr>
          <w:i/>
          <w:sz w:val="20"/>
        </w:rPr>
        <w:t>Biometrika</w:t>
      </w:r>
      <w:r>
        <w:rPr>
          <w:sz w:val="20"/>
        </w:rPr>
        <w:t>. 1993;80:27-38. doi:10.1093/biomet/80.1.27</w:t>
      </w:r>
    </w:p>
    <w:p>
      <w:pPr>
        <w:spacing w:after="60" w:line="480" w:lineRule="auto"/>
      </w:pPr>
      <w:r>
        <w:rPr>
          <w:sz w:val="20"/>
        </w:rPr>
        <w:t xml:space="preserve">24. Heinze G, Schemper M. A solution to the problem of separation in logistic regression. </w:t>
      </w:r>
      <w:r>
        <w:rPr>
          <w:i/>
          <w:sz w:val="20"/>
        </w:rPr>
        <w:t>Stat Med</w:t>
      </w:r>
      <w:r>
        <w:rPr>
          <w:sz w:val="20"/>
        </w:rPr>
        <w:t>. 2002;21:2409-2419. doi:10.1002/sim.1047</w:t>
      </w:r>
    </w:p>
    <w:p>
      <w:r>
        <w:br w:type="page"/>
      </w:r>
    </w:p>
    <w:p>
      <w:pPr>
        <w:pStyle w:val="Heading1"/>
      </w:pPr>
      <w:r>
        <w:t>Figure Legends</w:t>
      </w:r>
    </w:p>
    <w:p>
      <w:pPr>
        <w:spacing w:after="160" w:line="480" w:lineRule="auto"/>
      </w:pPr>
      <w:r>
        <w:rPr>
          <w:b/>
        </w:rPr>
        <w:t>Figure 1. Study flow and the imaging received by children without an index test.</w:t>
      </w:r>
      <w:r>
        <w:t xml:space="preserve"> Retrieval of 559 operative records in 499 children, exclusions after review of the anchor operation, availability of each preoperative index test, and reduction of 793 eligible preoperative reports to 723 index examination episodes. Every one of the 52 children who received none of the three index examinations nonetheless had other preoperative imaging, four of them documented before transfer;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Recurrent/intermittent symptoms,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212 (47.1)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146 (49.8)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144 (46.0)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52 (44.4)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19 (36.5)</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52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test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Positive/total</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rate,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Definite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Probable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Possible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excluding possible wording, %</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230/293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78.5 (73.4–82.8)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75 (32.6)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73 (31.7)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82 (35.7)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50.5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(all)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165/313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52.7 (47.2–58.2)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30 (18.2)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73 (44.2)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62 (37.6)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64/117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54.7 (45.7–63.4)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 (23.4)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 (26.6)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 (50.0)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27.4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 xml:space="preserve">  CT, contrast-enhanced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40/50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80.0 (67.0–88.8)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 xml:space="preserve">  CT, unenhanced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125/263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47.5 (41.6–53.6)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r>
        <w:br w:type="page"/>
      </w:r>
    </w:p>
    <w:p>
      <w:pPr>
        <w:keepNext/>
        <w:spacing w:after="160"/>
      </w:pPr>
      <w:r>
        <w:rPr>
          <w:b/>
        </w:rPr>
        <w:t>Table 3. Documented content of the 117 routine gastrointestinal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2012–2018 (n=38)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2019–2026 (n=79)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63/108 (58%)</w:t>
            </w:r>
          </w:p>
        </w:tc>
      </w:tr>
    </w:tbl>
    <w:p>
      <w:pPr>
        <w:spacing w:after="160"/>
      </w:pPr>
      <w:r>
        <w:rPr>
          <w:i/>
          <w:sz w:val="17"/>
        </w:rPr>
        <w:t>The index unit is the examination episode closest to operation, pooling all reports of that modality issued that day. Content was coded from the findings and conclusion text by two readers, an ultrasound physician and a pediatric surgeon,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a gastrointestinal and a great-vessel study. Denominators of fewer than 10 are shown without a percentage.</w:t>
      </w:r>
    </w:p>
    <w:p>
      <w:r>
        <w:br w:type="page"/>
      </w:r>
    </w:p>
    <w:p>
      <w:pPr>
        <w:keepNext/>
        <w:spacing w:after="160"/>
      </w:pPr>
      <w:r>
        <w:rPr>
          <w:b/>
        </w:rPr>
        <w:t>Table 4. Change in report-level detection between eras, and the examination-content variables associated with 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after adjustment for examination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Examination-content variable,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Average marginal effect of later era, percentage points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1.37 (0.73–2.57), p=0.333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(technique unchanged)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+5.1</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2.27 (1.38–3.72), p=0.001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2.02 (1.21–3.37), p=0.007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Intravenous contrast enhancement 3.98 (1.90–8.37), p&lt;0.001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+19.8 → +16.4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2.13 (0.97–4.67), p=0.060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1.45 (0.62–3.40), p=0.397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Session included a great-vessel study 3.51 (1.56–7.87), p=0.002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+18.7 → +8.4</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randomized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Supplement 2.</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5543853"/>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5543853"/>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72895"/>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72895"/>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