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('audit');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Abstract (Objective, Methods, Results, Discussion);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(consecutive children with an operative diagnosis of malrotation; institutional clinical and surgical records database; 15 excluded after review of the anchor operation); Supplement 1, Section K1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'Report-content audit and classification' (ultrasound content coded by two independent readers, with kappa); Supplement 1, Sections A–K</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(the 52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and 'Report-content audit and classification' (reclassification of possible-tier conclusions; paired analysis restricted to 48 h and 24 h);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(the 52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'Detection and certainty of wording' (unadjusted and adjusted GEE odds ratios); Supplement 2, Table S4</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Supplement 2, Table S6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paragraphs 1–3;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paragraphs 2–5; Take-Home Points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'Selected subgroup and populations not represented'; Discussion, Limitations (single center; skew toward severe neonatal disease)</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Declarations, Funding (and title page)</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