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five reports were changed to positive because a malrotation sign appeared in the findings section without being carried into the conclusion (Section G). The final outcome is therefore "positive under the study definition after adjudication", not "positive conclusion", and the two differ in those five reports.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characterize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`label_corrections.csv` and applied to the analysis matrix by `core.py`;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2.4 days earlier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report whose wording is ambiguous in neither of those ways.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The comparison is made by `classifier_agreement.py`, which applies the script to the pooled conclusion of each of the 723 index examination episodes — the same index unit the analysis uses —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That all 7 are under-calls shows that a conclusion-only rule set of this kind loses reports rather than inventing them,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Children were retrieved from the institutional surgical records database by matching, case-insensitively, the operative diagnosis field (术中诊断) against `肠旋转不良` or the procedure-name field (手术名称) against `Ladd`. Applied to the 559 operative records of 499 children held for the study period,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(`build_review_checklists.py`). The decisions were merged into the analysis by `review_merge.py`, which records them in `review_exclusions.csv` and `us_manual_coding.csv`; `core.py` and `usaudit4.py`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calibre,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algorithmic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All three</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120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176</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