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five children without volvulus, so the model exhibits complete separation and does not converge; any p value from such a fit is uninterpretable and none is reported. For the estimable UGI-versus-CT comparison the interaction OR was 0.92 (95% CI 0.32–2.66, p=0.87),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Cochran's Q,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Exact McNemar UGI vs CT: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24/6, p=0.001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20/4, p=0.002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12/1, p=0.003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Exact McNemar UGI vs US: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20/6, p=0.009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14/3, p=0.013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8/1, p=0.039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Exact McNemar CT vs US: discordant pairs, 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7/11, p=0.481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4/9, p=0.267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630027"/>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but the department attributes the change in practice to growing awareness from about 2021. Table S9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p≤0.005) and the adjusted era term is non-significant at every boundary. The temporal claim in the manuscript therefore does not depend on where the boundary is placed, and the crude era difference alone does not survive a boundary chosen to match the department's own account.</w:t>
      </w:r>
    </w:p>
    <w:p>
      <w:pPr>
        <w:spacing w:after="160"/>
      </w:pPr>
      <w:r>
        <w:rPr>
          <w:b/>
        </w:rPr>
        <w:t>Table S9.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2.13 (0.97–4.67), p=0.060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1.45 (0.62–3.40), p=0.397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3.51 (1.56–7.87), p=0.002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2.66 (1.23–5.77), p=0.013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1.77 (0.76–4.13), p=0.183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3.21 (1.41–7.30), p=0.005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1.84 (0.88–3.85), p=0.106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1.22 (0.54–2.75), p=0.638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3.65 (1.61–8.27), p=0.002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1.17 (0.55–2.50), p=0.691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0.85 (0.37–1.94), p=0.700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4.04 (1.82–8.97), p&lt;0.001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about half of the era difference at the 2019 and 2020 boundaries and for most of it at 2021 and 2022.</w:t>
      </w:r>
    </w:p>
    <w:p>
      <w:pPr>
        <w:spacing w:after="160"/>
      </w:pPr>
      <w:r>
        <w:rPr>
          <w:b/>
        </w:rPr>
        <w:t>The index unit.</w:t>
      </w:r>
      <w:r>
        <w:t xml:space="preserve"> The primary analysis takes the examination episode closest to operation. Table S10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S10.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S11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S11.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S12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The analysis therefore shows that, on the point estimates, examination type accounts for more than half the era difference, not that the remainder is absent.</w:t>
      </w:r>
    </w:p>
    <w:p>
      <w:pPr>
        <w:spacing w:after="160"/>
      </w:pPr>
      <w:r>
        <w:rPr>
          <w:b/>
        </w:rPr>
        <w:t>Table S12.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+19.8 (+8.3 to +31.0)</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CT, adjusted for contrast enhancement</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+16.4 (+4.3 to +27.3)</w:t>
            </w:r>
          </w:p>
        </w:tc>
      </w:tr>
    </w:tbl>
    <w:p>
      <w:pPr>
        <w:spacing w:after="160"/>
      </w:pPr>
    </w:p>
    <w:p>
      <w:pPr>
        <w:spacing w:after="160"/>
      </w:pPr>
      <w:r>
        <w:rPr>
          <w:b/>
        </w:rPr>
        <w:t>Paired differences with confidence intervals.</w:t>
      </w:r>
      <w:r>
        <w:t xml:space="preserve"> Table S13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S13.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Exact McNemar 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0.001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0.009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S14.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p=0.013).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S14 also reports era-by-content interaction terms for ultrasound and CT; neither is significant, so the additive models used in Table 4 are not obviously misspecified.</w:t>
      </w:r>
    </w:p>
    <w:p>
      <w:pPr>
        <w:spacing w:after="160"/>
      </w:pPr>
      <w:r>
        <w:rPr>
          <w:b/>
        </w:rPr>
        <w:t>Table S14.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