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an audit of 740 preoperative index examinations in 410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327 children with a stated degree, 308 had a rotation of at least 360° and 19 had 90–270°. Table S10 shows the effect of restricting volvulus to the former.</w:t>
      </w:r>
    </w:p>
    <w:p>
      <w:pPr>
        <w:spacing w:after="160"/>
      </w:pPr>
      <w:r>
        <w:rPr>
          <w:b/>
        </w:rPr>
        <w:t>Table S10. Prevalence of midgut volvulus under the primary and the restricted definition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Definition of midgut volvulus</w:t>
            </w:r>
          </w:p>
        </w:tc>
        <w:tc>
          <w:tcPr>
            <w:tcW w:type="dxa" w:w="3120"/>
          </w:tcPr>
          <w:p>
            <w:r/>
            <w:r>
              <w:rPr>
                <w:rFonts w:ascii="Times New Roman" w:hAnsi="Times New Roman"/>
                <w:b/>
                <w:sz w:val="17"/>
              </w:rPr>
              <w:t>Whole cohort (n=465)</w:t>
            </w:r>
          </w:p>
        </w:tc>
        <w:tc>
          <w:tcPr>
            <w:tcW w:type="dxa" w:w="3120"/>
          </w:tcPr>
          <w:p>
            <w:r/>
            <w:r>
              <w:rPr>
                <w:rFonts w:ascii="Times New Roman" w:hAnsi="Times New Roman"/>
                <w:b/>
                <w:sz w:val="17"/>
              </w:rPr>
              <w:t>Children who underwent ultrasound (n=119)</w:t>
            </w:r>
          </w:p>
        </w:tc>
      </w:tr>
      <w:tr>
        <w:tc>
          <w:tcPr>
            <w:tcW w:type="dxa" w:w="3120"/>
          </w:tcPr>
          <w:p>
            <w:r/>
            <w:r>
              <w:rPr>
                <w:rFonts w:ascii="Times New Roman" w:hAnsi="Times New Roman"/>
                <w:sz w:val="17"/>
              </w:rPr>
              <w:t>Explicit operative statement of torsion, or any documented degree of rotation (primary)</w:t>
            </w:r>
          </w:p>
        </w:tc>
        <w:tc>
          <w:tcPr>
            <w:tcW w:type="dxa" w:w="3120"/>
          </w:tcPr>
          <w:p>
            <w:r/>
            <w:r>
              <w:rPr>
                <w:rFonts w:ascii="Times New Roman" w:hAnsi="Times New Roman"/>
                <w:sz w:val="17"/>
              </w:rPr>
              <w:t>403 (86.7%)</w:t>
            </w:r>
          </w:p>
        </w:tc>
        <w:tc>
          <w:tcPr>
            <w:tcW w:type="dxa" w:w="3120"/>
          </w:tcPr>
          <w:p>
            <w:r/>
            <w:r>
              <w:rPr>
                <w:rFonts w:ascii="Times New Roman" w:hAnsi="Times New Roman"/>
                <w:sz w:val="17"/>
              </w:rPr>
              <w:t>113 (95.0%)</w:t>
            </w:r>
          </w:p>
        </w:tc>
      </w:tr>
      <w:tr>
        <w:tc>
          <w:tcPr>
            <w:tcW w:type="dxa" w:w="3120"/>
          </w:tcPr>
          <w:p>
            <w:r/>
            <w:r>
              <w:rPr>
                <w:rFonts w:ascii="Times New Roman" w:hAnsi="Times New Roman"/>
                <w:sz w:val="17"/>
              </w:rPr>
              <w:t>Restricted to a documented rotation of 360° or more</w:t>
            </w:r>
          </w:p>
        </w:tc>
        <w:tc>
          <w:tcPr>
            <w:tcW w:type="dxa" w:w="3120"/>
          </w:tcPr>
          <w:p>
            <w:r/>
            <w:r>
              <w:rPr>
                <w:rFonts w:ascii="Times New Roman" w:hAnsi="Times New Roman"/>
                <w:sz w:val="17"/>
              </w:rPr>
              <w:t>384 (82.6%)</w:t>
            </w:r>
          </w:p>
        </w:tc>
        <w:tc>
          <w:tcPr>
            <w:tcW w:type="dxa" w:w="3120"/>
          </w:tcPr>
          <w:p>
            <w:r/>
            <w:r>
              <w:rPr>
                <w:rFonts w:ascii="Times New Roman" w:hAnsi="Times New Roman"/>
                <w:sz w:val="17"/>
              </w:rPr>
              <w:t>104 (87.4%)</w:t>
            </w:r>
          </w:p>
        </w:tc>
      </w:tr>
    </w:tbl>
    <w:p>
      <w:pPr>
        <w:spacing w:after="160"/>
      </w:pPr>
    </w:p>
    <w:p>
      <w:pPr>
        <w:spacing w:after="160"/>
      </w:pPr>
      <w:r>
        <w:t>Restricting the definition lowers volvulus prevalence from 86.7% to 82.6% in the cohort and from 95.0% to 87.4% among the children who underwent ultrasound. It does not change the manuscript's claims: the whirlpool sign remains documented in about half of the children with confirmed volvulus under either definition, and the group with malrotation but no volvulus remains too small for any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and the adjusted effect does not; the two intervals overlap heavily, so the analysis shows that examination type accounts for about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+20.2 (+1.8 to +38.8)</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+10.3 (-10.3 to +30.1)</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+19.7 (+8.0 to +30.8)</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+15.6 (+4.3 to +27.4)</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47.5%</w:t>
            </w:r>
          </w:p>
        </w:tc>
        <w:tc>
          <w:tcPr>
            <w:tcW w:type="dxa" w:w="1872"/>
          </w:tcPr>
          <w:p>
            <w:r/>
            <w:r>
              <w:rPr>
                <w:rFonts w:ascii="Times New Roman" w:hAnsi="Times New Roman"/>
                <w:sz w:val="17"/>
              </w:rPr>
              <w:t>+28.8 (+13.6 to +44.1)</w:t>
            </w:r>
          </w:p>
        </w:tc>
        <w:tc>
          <w:tcPr>
            <w:tcW w:type="dxa" w:w="1872"/>
          </w:tcPr>
          <w:p>
            <w:r/>
            <w:r>
              <w:rPr>
                <w:rFonts w:ascii="Times New Roman" w:hAnsi="Times New Roman"/>
                <w:sz w:val="17"/>
              </w:rPr>
              <w:t>23/6</w:t>
            </w:r>
          </w:p>
        </w:tc>
        <w:tc>
          <w:tcPr>
            <w:tcW w:type="dxa" w:w="1872"/>
          </w:tcPr>
          <w:p>
            <w:r/>
            <w:r>
              <w:rPr>
                <w:rFonts w:ascii="Times New Roman" w:hAnsi="Times New Roman"/>
                <w:sz w:val="17"/>
              </w:rPr>
              <w:t>0.002</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47.5% vs 52.5%</w:t>
            </w:r>
          </w:p>
        </w:tc>
        <w:tc>
          <w:tcPr>
            <w:tcW w:type="dxa" w:w="1872"/>
          </w:tcPr>
          <w:p>
            <w:r/>
            <w:r>
              <w:rPr>
                <w:rFonts w:ascii="Times New Roman" w:hAnsi="Times New Roman"/>
                <w:sz w:val="17"/>
              </w:rPr>
              <w:t>-5.1 (-18.6 to +10.2)</w:t>
            </w:r>
          </w:p>
        </w:tc>
        <w:tc>
          <w:tcPr>
            <w:tcW w:type="dxa" w:w="1872"/>
          </w:tcPr>
          <w:p>
            <w:r/>
            <w:r>
              <w:rPr>
                <w:rFonts w:ascii="Times New Roman" w:hAnsi="Times New Roman"/>
                <w:sz w:val="17"/>
              </w:rPr>
              <w:t>8/11</w:t>
            </w:r>
          </w:p>
        </w:tc>
        <w:tc>
          <w:tcPr>
            <w:tcW w:type="dxa" w:w="1872"/>
          </w:tcPr>
          <w:p>
            <w:r/>
            <w:r>
              <w:rPr>
                <w:rFonts w:ascii="Times New Roman" w:hAnsi="Times New Roman"/>
                <w:sz w:val="17"/>
              </w:rPr>
              <w:t>0.648</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rather than a Wald one, because under separation the two disagree here: the Wald interval spans 0.77 to 401 and the profile interval 2.00 to 2310 (penalised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0.90 (0.33–2.43)</w:t>
            </w:r>
          </w:p>
        </w:tc>
        <w:tc>
          <w:tcPr>
            <w:tcW w:type="dxa" w:w="3120"/>
          </w:tcPr>
          <w:p>
            <w:r/>
            <w:r>
              <w:rPr>
                <w:rFonts w:ascii="Times New Roman" w:hAnsi="Times New Roman"/>
                <w:sz w:val="17"/>
              </w:rPr>
              <w:t>0.838</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17.6 (2.00–2310, profile penalised likelihood)</w:t>
            </w:r>
          </w:p>
        </w:tc>
        <w:tc>
          <w:tcPr>
            <w:tcW w:type="dxa" w:w="3120"/>
          </w:tcPr>
          <w:p>
            <w:r/>
            <w:r>
              <w:rPr>
                <w:rFonts w:ascii="Times New Roman" w:hAnsi="Times New Roman"/>
                <w:sz w:val="17"/>
              </w:rPr>
              <w:t>0.006</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0.90 (0.16–4.92)</w:t>
            </w:r>
          </w:p>
        </w:tc>
        <w:tc>
          <w:tcPr>
            <w:tcW w:type="dxa" w:w="3120"/>
          </w:tcPr>
          <w:p>
            <w:r/>
            <w:r>
              <w:rPr>
                <w:rFonts w:ascii="Times New Roman" w:hAnsi="Times New Roman"/>
                <w:sz w:val="17"/>
              </w:rPr>
              <w:t>0.903</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1.94 (0.32–11.58)</w:t>
            </w:r>
          </w:p>
        </w:tc>
        <w:tc>
          <w:tcPr>
            <w:tcW w:type="dxa" w:w="3120"/>
          </w:tcPr>
          <w:p>
            <w:r/>
            <w:r>
              <w:rPr>
                <w:rFonts w:ascii="Times New Roman" w:hAnsi="Times New Roman"/>
                <w:sz w:val="17"/>
              </w:rPr>
              <w:t>0.469</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