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Modality</w:t>
            </w:r>
          </w:p>
        </w:tc>
        <w:tc>
          <w:tcPr>
            <w:tcW w:type="dxa" w:w="1872"/>
          </w:tcPr>
          <w:p>
            <w:r/>
            <w:r>
              <w:rPr>
                <w:rFonts w:ascii="Times New Roman" w:hAnsi="Times New Roman"/>
                <w:b/>
                <w:sz w:val="17"/>
              </w:rPr>
              <w:t>Documented content</w:t>
            </w:r>
          </w:p>
        </w:tc>
        <w:tc>
          <w:tcPr>
            <w:tcW w:type="dxa" w:w="1872"/>
          </w:tcPr>
          <w:p>
            <w:r/>
            <w:r>
              <w:rPr>
                <w:rFonts w:ascii="Times New Roman" w:hAnsi="Times New Roman"/>
                <w:b/>
                <w:sz w:val="17"/>
              </w:rPr>
              <w:t>n (%) of reports</w:t>
            </w:r>
          </w:p>
        </w:tc>
        <w:tc>
          <w:tcPr>
            <w:tcW w:type="dxa" w:w="1872"/>
          </w:tcPr>
          <w:p>
            <w:r/>
            <w:r>
              <w:rPr>
                <w:rFonts w:ascii="Times New Roman" w:hAnsi="Times New Roman"/>
                <w:b/>
                <w:sz w:val="17"/>
              </w:rPr>
              <w:t>Detection when documented</w:t>
            </w:r>
          </w:p>
        </w:tc>
        <w:tc>
          <w:tcPr>
            <w:tcW w:type="dxa" w:w="1872"/>
          </w:tcPr>
          <w:p>
            <w:r/>
            <w:r>
              <w:rPr>
                <w:rFonts w:ascii="Times New Roman" w:hAnsi="Times New Roman"/>
                <w:b/>
                <w:sz w:val="17"/>
              </w:rPr>
              <w:t>Detection when not documented</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Contrast enhancement</w:t>
            </w:r>
          </w:p>
        </w:tc>
        <w:tc>
          <w:tcPr>
            <w:tcW w:type="dxa" w:w="1872"/>
          </w:tcPr>
          <w:p>
            <w:r/>
            <w:r>
              <w:rPr>
                <w:rFonts w:ascii="Times New Roman" w:hAnsi="Times New Roman"/>
                <w:sz w:val="17"/>
              </w:rPr>
              <w:t>52 (16.2)</w:t>
            </w:r>
          </w:p>
        </w:tc>
        <w:tc>
          <w:tcPr>
            <w:tcW w:type="dxa" w:w="1872"/>
          </w:tcPr>
          <w:p>
            <w:r/>
            <w:r>
              <w:rPr>
                <w:rFonts w:ascii="Times New Roman" w:hAnsi="Times New Roman"/>
                <w:sz w:val="17"/>
              </w:rPr>
              <w:t>44/52 (85%)</w:t>
            </w:r>
          </w:p>
        </w:tc>
        <w:tc>
          <w:tcPr>
            <w:tcW w:type="dxa" w:w="1872"/>
          </w:tcPr>
          <w:p>
            <w:r/>
            <w:r>
              <w:rPr>
                <w:rFonts w:ascii="Times New Roman" w:hAnsi="Times New Roman"/>
                <w:sz w:val="17"/>
              </w:rPr>
              <w:t>127/268 (47%)</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 whirl</w:t>
            </w:r>
          </w:p>
        </w:tc>
        <w:tc>
          <w:tcPr>
            <w:tcW w:type="dxa" w:w="1872"/>
          </w:tcPr>
          <w:p>
            <w:r/>
            <w:r>
              <w:rPr>
                <w:rFonts w:ascii="Times New Roman" w:hAnsi="Times New Roman"/>
                <w:sz w:val="17"/>
              </w:rPr>
              <w:t>116 (36.2)</w:t>
            </w:r>
          </w:p>
        </w:tc>
        <w:tc>
          <w:tcPr>
            <w:tcW w:type="dxa" w:w="1872"/>
          </w:tcPr>
          <w:p>
            <w:r/>
            <w:r>
              <w:rPr>
                <w:rFonts w:ascii="Times New Roman" w:hAnsi="Times New Roman"/>
                <w:sz w:val="17"/>
              </w:rPr>
              <w:t>114/116 (98%)</w:t>
            </w:r>
          </w:p>
        </w:tc>
        <w:tc>
          <w:tcPr>
            <w:tcW w:type="dxa" w:w="1872"/>
          </w:tcPr>
          <w:p>
            <w:r/>
            <w:r>
              <w:rPr>
                <w:rFonts w:ascii="Times New Roman" w:hAnsi="Times New Roman"/>
                <w:sz w:val="17"/>
              </w:rPr>
              <w:t>57/204 (28%)</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Duodenum mentioned</w:t>
            </w:r>
          </w:p>
        </w:tc>
        <w:tc>
          <w:tcPr>
            <w:tcW w:type="dxa" w:w="1872"/>
          </w:tcPr>
          <w:p>
            <w:r/>
            <w:r>
              <w:rPr>
                <w:rFonts w:ascii="Times New Roman" w:hAnsi="Times New Roman"/>
                <w:sz w:val="17"/>
              </w:rPr>
              <w:t>73 (22.8)</w:t>
            </w:r>
          </w:p>
        </w:tc>
        <w:tc>
          <w:tcPr>
            <w:tcW w:type="dxa" w:w="1872"/>
          </w:tcPr>
          <w:p>
            <w:r/>
            <w:r>
              <w:rPr>
                <w:rFonts w:ascii="Times New Roman" w:hAnsi="Times New Roman"/>
                <w:sz w:val="17"/>
              </w:rPr>
              <w:t>43/73 (59%)</w:t>
            </w:r>
          </w:p>
        </w:tc>
        <w:tc>
          <w:tcPr>
            <w:tcW w:type="dxa" w:w="1872"/>
          </w:tcPr>
          <w:p>
            <w:r/>
            <w:r>
              <w:rPr>
                <w:rFonts w:ascii="Times New Roman" w:hAnsi="Times New Roman"/>
                <w:sz w:val="17"/>
              </w:rPr>
              <w:t>128/247 (52%)</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Mesenteric-vessel relationship</w:t>
            </w:r>
          </w:p>
        </w:tc>
        <w:tc>
          <w:tcPr>
            <w:tcW w:type="dxa" w:w="1872"/>
          </w:tcPr>
          <w:p>
            <w:r/>
            <w:r>
              <w:rPr>
                <w:rFonts w:ascii="Times New Roman" w:hAnsi="Times New Roman"/>
                <w:sz w:val="17"/>
              </w:rPr>
              <w:t>43 (13.4)</w:t>
            </w:r>
          </w:p>
        </w:tc>
        <w:tc>
          <w:tcPr>
            <w:tcW w:type="dxa" w:w="1872"/>
          </w:tcPr>
          <w:p>
            <w:r/>
            <w:r>
              <w:rPr>
                <w:rFonts w:ascii="Times New Roman" w:hAnsi="Times New Roman"/>
                <w:sz w:val="17"/>
              </w:rPr>
              <w:t>36/43 (84%)</w:t>
            </w:r>
          </w:p>
        </w:tc>
        <w:tc>
          <w:tcPr>
            <w:tcW w:type="dxa" w:w="1872"/>
          </w:tcPr>
          <w:p>
            <w:r/>
            <w:r>
              <w:rPr>
                <w:rFonts w:ascii="Times New Roman" w:hAnsi="Times New Roman"/>
                <w:sz w:val="17"/>
              </w:rPr>
              <w:t>135/277 (49%)</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Three-dimensional reconstruction</w:t>
            </w:r>
          </w:p>
        </w:tc>
        <w:tc>
          <w:tcPr>
            <w:tcW w:type="dxa" w:w="1872"/>
          </w:tcPr>
          <w:p>
            <w:r/>
            <w:r>
              <w:rPr>
                <w:rFonts w:ascii="Times New Roman" w:hAnsi="Times New Roman"/>
                <w:sz w:val="17"/>
              </w:rPr>
              <w:t>124 (38.8)</w:t>
            </w:r>
          </w:p>
        </w:tc>
        <w:tc>
          <w:tcPr>
            <w:tcW w:type="dxa" w:w="1872"/>
          </w:tcPr>
          <w:p>
            <w:r/>
            <w:r>
              <w:rPr>
                <w:rFonts w:ascii="Times New Roman" w:hAnsi="Times New Roman"/>
                <w:sz w:val="17"/>
              </w:rPr>
              <w:t>79/124 (64%)</w:t>
            </w:r>
          </w:p>
        </w:tc>
        <w:tc>
          <w:tcPr>
            <w:tcW w:type="dxa" w:w="1872"/>
          </w:tcPr>
          <w:p>
            <w:r/>
            <w:r>
              <w:rPr>
                <w:rFonts w:ascii="Times New Roman" w:hAnsi="Times New Roman"/>
                <w:sz w:val="17"/>
              </w:rPr>
              <w:t>92/196 (47%)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Duodenojejunal junction</w:t>
            </w:r>
          </w:p>
        </w:tc>
        <w:tc>
          <w:tcPr>
            <w:tcW w:type="dxa" w:w="1872"/>
          </w:tcPr>
          <w:p>
            <w:r/>
            <w:r>
              <w:rPr>
                <w:rFonts w:ascii="Times New Roman" w:hAnsi="Times New Roman"/>
                <w:sz w:val="17"/>
              </w:rPr>
              <w:t>154 (51.2)</w:t>
            </w:r>
          </w:p>
        </w:tc>
        <w:tc>
          <w:tcPr>
            <w:tcW w:type="dxa" w:w="1872"/>
          </w:tcPr>
          <w:p>
            <w:r/>
            <w:r>
              <w:rPr>
                <w:rFonts w:ascii="Times New Roman" w:hAnsi="Times New Roman"/>
                <w:sz w:val="17"/>
              </w:rPr>
              <w:t>153/154 (99%)</w:t>
            </w:r>
          </w:p>
        </w:tc>
        <w:tc>
          <w:tcPr>
            <w:tcW w:type="dxa" w:w="1872"/>
          </w:tcPr>
          <w:p>
            <w:r/>
            <w:r>
              <w:rPr>
                <w:rFonts w:ascii="Times New Roman" w:hAnsi="Times New Roman"/>
                <w:sz w:val="17"/>
              </w:rPr>
              <w:t>84/147 (57%)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Corkscrew / spring appearance</w:t>
            </w:r>
          </w:p>
        </w:tc>
        <w:tc>
          <w:tcPr>
            <w:tcW w:type="dxa" w:w="1872"/>
          </w:tcPr>
          <w:p>
            <w:r/>
            <w:r>
              <w:rPr>
                <w:rFonts w:ascii="Times New Roman" w:hAnsi="Times New Roman"/>
                <w:sz w:val="17"/>
              </w:rPr>
              <w:t>140 (46.5)</w:t>
            </w:r>
          </w:p>
        </w:tc>
        <w:tc>
          <w:tcPr>
            <w:tcW w:type="dxa" w:w="1872"/>
          </w:tcPr>
          <w:p>
            <w:r/>
            <w:r>
              <w:rPr>
                <w:rFonts w:ascii="Times New Roman" w:hAnsi="Times New Roman"/>
                <w:sz w:val="17"/>
              </w:rPr>
              <w:t>140/140 (100%)</w:t>
            </w:r>
          </w:p>
        </w:tc>
        <w:tc>
          <w:tcPr>
            <w:tcW w:type="dxa" w:w="1872"/>
          </w:tcPr>
          <w:p>
            <w:r/>
            <w:r>
              <w:rPr>
                <w:rFonts w:ascii="Times New Roman" w:hAnsi="Times New Roman"/>
                <w:sz w:val="17"/>
              </w:rPr>
              <w:t>97/161 (60%)</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Jejunal position</w:t>
            </w:r>
          </w:p>
        </w:tc>
        <w:tc>
          <w:tcPr>
            <w:tcW w:type="dxa" w:w="1872"/>
          </w:tcPr>
          <w:p>
            <w:r/>
            <w:r>
              <w:rPr>
                <w:rFonts w:ascii="Times New Roman" w:hAnsi="Times New Roman"/>
                <w:sz w:val="17"/>
              </w:rPr>
              <w:t>213 (70.8)</w:t>
            </w:r>
          </w:p>
        </w:tc>
        <w:tc>
          <w:tcPr>
            <w:tcW w:type="dxa" w:w="1872"/>
          </w:tcPr>
          <w:p>
            <w:r/>
            <w:r>
              <w:rPr>
                <w:rFonts w:ascii="Times New Roman" w:hAnsi="Times New Roman"/>
                <w:sz w:val="17"/>
              </w:rPr>
              <w:t>200/213 (94%)</w:t>
            </w:r>
          </w:p>
        </w:tc>
        <w:tc>
          <w:tcPr>
            <w:tcW w:type="dxa" w:w="1872"/>
          </w:tcPr>
          <w:p>
            <w:r/>
            <w:r>
              <w:rPr>
                <w:rFonts w:ascii="Times New Roman" w:hAnsi="Times New Roman"/>
                <w:sz w:val="17"/>
              </w:rPr>
              <w:t>37/88 (42%)</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Caecal position</w:t>
            </w:r>
          </w:p>
        </w:tc>
        <w:tc>
          <w:tcPr>
            <w:tcW w:type="dxa" w:w="1872"/>
          </w:tcPr>
          <w:p>
            <w:r/>
            <w:r>
              <w:rPr>
                <w:rFonts w:ascii="Times New Roman" w:hAnsi="Times New Roman"/>
                <w:sz w:val="17"/>
              </w:rPr>
              <w:t>200 (66.4)</w:t>
            </w:r>
          </w:p>
        </w:tc>
        <w:tc>
          <w:tcPr>
            <w:tcW w:type="dxa" w:w="1872"/>
          </w:tcPr>
          <w:p>
            <w:r/>
            <w:r>
              <w:rPr>
                <w:rFonts w:ascii="Times New Roman" w:hAnsi="Times New Roman"/>
                <w:sz w:val="17"/>
              </w:rPr>
              <w:t>180/200 (90%)</w:t>
            </w:r>
          </w:p>
        </w:tc>
        <w:tc>
          <w:tcPr>
            <w:tcW w:type="dxa" w:w="1872"/>
          </w:tcPr>
          <w:p>
            <w:r/>
            <w:r>
              <w:rPr>
                <w:rFonts w:ascii="Times New Roman" w:hAnsi="Times New Roman"/>
                <w:sz w:val="17"/>
              </w:rPr>
              <w:t>57/101 (56%)</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Whole-gastrointestinal study</w:t>
            </w:r>
          </w:p>
        </w:tc>
        <w:tc>
          <w:tcPr>
            <w:tcW w:type="dxa" w:w="1872"/>
          </w:tcPr>
          <w:p>
            <w:r/>
            <w:r>
              <w:rPr>
                <w:rFonts w:ascii="Times New Roman" w:hAnsi="Times New Roman"/>
                <w:sz w:val="17"/>
              </w:rPr>
              <w:t>286 (95.0)</w:t>
            </w:r>
          </w:p>
        </w:tc>
        <w:tc>
          <w:tcPr>
            <w:tcW w:type="dxa" w:w="1872"/>
          </w:tcPr>
          <w:p>
            <w:r/>
            <w:r>
              <w:rPr>
                <w:rFonts w:ascii="Times New Roman" w:hAnsi="Times New Roman"/>
                <w:sz w:val="17"/>
              </w:rPr>
              <w:t>224/286 (78%)</w:t>
            </w:r>
          </w:p>
        </w:tc>
        <w:tc>
          <w:tcPr>
            <w:tcW w:type="dxa" w:w="1872"/>
          </w:tcPr>
          <w:p>
            <w:r/>
            <w:r>
              <w:rPr>
                <w:rFonts w:ascii="Times New Roman" w:hAnsi="Times New Roman"/>
                <w:sz w:val="17"/>
              </w:rPr>
              <w:t>13/15 (87%)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Barium used</w:t>
            </w:r>
          </w:p>
        </w:tc>
        <w:tc>
          <w:tcPr>
            <w:tcW w:type="dxa" w:w="1872"/>
          </w:tcPr>
          <w:p>
            <w:r/>
            <w:r>
              <w:rPr>
                <w:rFonts w:ascii="Times New Roman" w:hAnsi="Times New Roman"/>
                <w:sz w:val="17"/>
              </w:rPr>
              <w:t>17 (5.6)</w:t>
            </w:r>
          </w:p>
        </w:tc>
        <w:tc>
          <w:tcPr>
            <w:tcW w:type="dxa" w:w="1872"/>
          </w:tcPr>
          <w:p>
            <w:r/>
            <w:r>
              <w:rPr>
                <w:rFonts w:ascii="Times New Roman" w:hAnsi="Times New Roman"/>
                <w:sz w:val="17"/>
              </w:rPr>
              <w:t>16/17 (94%)</w:t>
            </w:r>
          </w:p>
        </w:tc>
        <w:tc>
          <w:tcPr>
            <w:tcW w:type="dxa" w:w="1872"/>
          </w:tcPr>
          <w:p>
            <w:r/>
            <w:r>
              <w:rPr>
                <w:rFonts w:ascii="Times New Roman" w:hAnsi="Times New Roman"/>
                <w:sz w:val="17"/>
              </w:rPr>
              <w:t>221/284 (78%)</w:t>
            </w:r>
          </w:p>
        </w:tc>
      </w:tr>
    </w:tbl>
    <w:p>
      <w:pPr>
        <w:spacing w:after="160"/>
      </w:pPr>
    </w:p>
    <w:p>
      <w:pPr>
        <w:spacing w:after="160"/>
      </w:pPr>
      <w:r>
        <w:t>Content was coded from the findings and conclusion text of each index examination episode using the patterns in Online Resource 1, Section H. Detection percentages are report-level detection among surgically confirmed children, conditional on whether the element was documented.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likely to conclude that malrotation is present. The tabulation is informative for how often each element was documented, not for the strength of these associations.</w:t>
      </w:r>
    </w:p>
    <w:p>
      <w:pPr>
        <w:spacing w:after="160"/>
      </w:pPr>
      <w:r>
        <w:t>Two features of these reports bear on the ultrasound findings. The upper gastrointestinal series was the only modality whose routine reports documented the duodenojejunal junction, the anatomical landmark that defines malrotation, in about half of examinations (51.2%), and jejunal position in 70.8%. The mesenteric whirl was documented in only 36.2% of CT examinations, and contrast enhancement, which renders the whirl visible, was used in only 16.2%; together these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