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2,998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For each child and modality the index unit was the preoperative examination episode closest to operation, pooling reports issued the same day. Episodes were classified for malrotation detection by a rule-based algorithm with blinded surgeon adjudication, and separately audited for documented technical content. Because the cohort was assembled on surgically confirmed disease, the outcome is report-level detection among children who received the test; specificity, predictive values and comparative accuracy are not estimable.</w:t>
      </w:r>
    </w:p>
    <w:p>
      <w:pPr>
        <w:spacing w:after="160"/>
      </w:pPr>
      <w:r>
        <w:rPr>
          <w:b/>
        </w:rPr>
        <w:t>Results</w:t>
      </w:r>
      <w:r>
        <w:t xml:space="preserve"> Among 465 children (median age at operation 13 days; volvulus in 86.7%), 410 had at least one index test (740 examinations from 778 reports). Three of 119 ultrasound examinations (2.5%) documented D3 or the duodenojejunal junction, 12 (10.1%) the superior mesenteric artery–vein relationship and 2 (1.7%) enteric fluid administration, whereas a whirlpool sign was reported in 48.7%. Ultrasound named malrotation in 58 of 58 examinations reporting a whirlpool and 7 of 61 without one, but a whirlpool was reported in only 58 of the 113 children whose operation confirmed volvulus. Detection was 78.7% (237/301) for the UGI series, 53.4% (171/320) for CT and 54.6% (65/119) for ultrasound, on non-comparable denominators. Ultrasound detection rose from 41.0% to 61.3% between eras; adjusting for a shift toward sessions including an abdominal great-vessel study halved that difference (+20.2 to +10.3 percentage points), while the examination-type term stayed between 3.1 and 3.9 wherever the era boundary was placed.</w:t>
      </w:r>
    </w:p>
    <w:p>
      <w:pPr>
        <w:spacing w:after="160"/>
      </w:pPr>
      <w:r>
        <w:rPr>
          <w:b/>
        </w:rPr>
        <w:t>Conclusions</w:t>
      </w:r>
      <w:r>
        <w:t xml:space="preserve"> Routine ultrasound functioned as a whirlpool-dependent test for volvulus rather than a protocolised assessment of duodenal position. Whether supplying the missing technical elements would close the gap to published performance cannot be tested here, but the gap coincides with a measurable deficit in what these examinations recorded.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in this department they almost never did, and a negative ultrasound did 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Ultrasound named the diagnosis almost only when a whirlpool sign was reported.</w:t>
      </w:r>
    </w:p>
    <w:p>
      <w:pPr>
        <w:spacing w:after="160"/>
      </w:pPr>
      <w:r>
        <w:t>• Improvement over time tracked examination type more closely than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is excluded, although older children may present atypically and be diagnosed late [3, 4].</w:t>
      </w:r>
    </w:p>
    <w:p>
      <w:pPr>
        <w:spacing w:after="160"/>
      </w:pPr>
      <w:r>
        <w:t>The upper gastrointestinal (UGI) contrast series has long been the reference imaging test, based on the duodenojejunal junction and the course of the proximal small bowel [5, 6, 13], an interpretation with well-described mimics [17]; abdominal CT is not a dedicated test, its mesenteric swirl being neither reliably present nor specific in children [10, 11]. Over the past decade the field has moved toward ultrasound: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as a modality but to specific technical elements — the third portion of the duodenum (D3), the duodenojejunal junction, the superior mesenteric artery–vein relationship, enteric fluid and dynamic graded compression [9, 12, 18, 20, 21] — which the same literature records as demanding and not universally achievable, D3 position alone being argued insufficient for diagnosis [22].</w:t>
      </w:r>
    </w:p>
    <w:p>
      <w:pPr>
        <w:spacing w:after="160"/>
      </w:pPr>
      <w:r>
        <w:t>Those studies describe what ultrasound achieves under favourable conditions; what clinicians act on is the routine report issued during unselected care. To our knowledge, no study has examined the content of routine malrotation ultrasound reports at scale, or linked it to whether the diagnosis was named.</w:t>
      </w:r>
    </w:p>
    <w:p>
      <w:pPr>
        <w:spacing w:after="160"/>
      </w:pPr>
      <w:r>
        <w:t>We therefore audited 13.5 years of routine reports at a tertiary children's hospital. Because every child had surgically confirmed malrotation, the study measures how often the disease was named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 xml:space="preserve">This was a retrospective, single-centre, case-only report audit approved by the institutional review board with waiver of consent. Reporting follows STROBE [14]; STARD was not used, the design not being a diagnostic accuracy study. The cohort contains no children in whom malrotation was suspected and excluded, which fixes what can be measured. The outcome is the </w:t>
      </w:r>
      <w:r>
        <w:rPr>
          <w:b/>
        </w:rPr>
        <w:t>report-level detection rate among surgically confirmed children who received the test</w:t>
      </w:r>
      <w:r>
        <w:t xml:space="preserve">. We avoid the word "sensitivity": the quantity is a sensitivity only within the indication-selected group that underwent each test, and does not transfer to children investigated for suspicion. Specificity, predictive values and any accuracy-based ranking cannot be estimated at all.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searched the institutional surgical records database for operations between December 2012 and June 2026 whose operative diagnosis named intestinal malrotation or whose procedure was recorded as a Ladd procedure, and reviewed every record retrieved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because the department routinely issues separate gastrointestinal and great-vessel reports for one ultrasound session: 740 index examinations from 778 reports, with 34 earlier repeat examinations not audited (Fig. 1). The formal indication on each request was not retrievable, so confounding by indication is displayed through each modality group's characteristics (Table 1) rather than adjusted away.</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ever in use. The department reports no change in ultrasound equipment, reporting staff or protocol during the study period, attributing the change in practice from about 2021 to growing awareness of the diagnosis — an account given retrospectively, not recorded at the time.</w:t>
      </w:r>
    </w:p>
    <w:p>
      <w:pPr>
        <w:pStyle w:val="Heading2"/>
      </w:pPr>
      <w:r>
        <w:t>Report-content audit and classification</w:t>
      </w:r>
    </w:p>
    <w:p>
      <w:pPr>
        <w:spacing w:after="160"/>
      </w:pPr>
      <w:r>
        <w:t>Each index unit was coded for documented technical content by text patterns applied to the findings and conclusion sections — for ultrasound, D3 or the duodenojejunal junction, the mesenteric artery–vein relationship and vessel inversion, a whirlpool appearance, enteric fluid administration, dynamic and graded-compression technique, limiting bowel gas, caecal position and bedside performance; for CT and the UGI series, the corresponding landmarks (Online Resource 1). Technique elements count as documented whether the finding was normal or abnormal, since an examination stating the vessel relationship is normal did assess the vessels; the whirlpool sign, a finding rather than a technique, counts only where not negated. The audit is a lower bound on what was performed.</w:t>
      </w:r>
    </w:p>
    <w:p>
      <w:pPr>
        <w:spacing w:after="160"/>
      </w:pPr>
      <w:r>
        <w:t>An examination was positive when its conclusion named malrotation or midgut volvulus, including tentative phrasing, or described a modality-specific sign of it: for ultrasound a whirlpool or an explicit statement of mesenteric vessel inversion; for the UGI series a corkscrew or spring appearance or a malpositioned duodenojejunal junction; for CT a mesenteric whirl or an abnormal duodenal position. Explicit negation was negative and isolated gastric volvulus was not counted. Because the whirlpool is both an audited element and a positivity criterion, we report how often conclusions named the diagnosis. Because tentative phrasing is standard here, we tabulated the certainty tier of every positive conclusion and repeated the analyses with "possible" tiers counted as negative.</w:t>
      </w:r>
    </w:p>
    <w:p>
      <w:pPr>
        <w:spacing w:after="160"/>
      </w:pPr>
      <w:r>
        <w:t>Report text was classified with a rule-based, clause-level algorithm with explicit negation handling [15]; the rule dictionary, negation logic, per-modality label distribution and worked misclassification examples are in Online Resource 1. A paediatric surgeon blinded to the operative findings adjudicated 32 reports: agreement was 92% (Cohen kappa 0.83) in a stratified random sample of 24, and a targeted review of 8 suspected discordances found 5 further under-calls, corrected but excluded from the agreement statistics. All discordances were machine under-calls, so detection rates are conservative; with one adjudicator, interobserver agreement could not be estimated.</w:t>
      </w:r>
    </w:p>
    <w:p>
      <w:pPr>
        <w:pStyle w:val="Heading2"/>
      </w:pPr>
      <w:r>
        <w:t>Statistical analysis</w:t>
      </w:r>
    </w:p>
    <w:p>
      <w:pPr>
        <w:spacing w:after="160"/>
      </w:pPr>
      <w:r>
        <w:t>Detection rates carry Wilson 95% confidence intervals (CIs), with denominators shown wherever a rate appears. All analysis variables were complete. Between-modality comparison used a generalised estimating equation (GEE) logistic model [16]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children who received each test. A pre-specified modality-by-volvulus interaction was not estimable in the three-modality model, no ultrasound examination being positive among the six children without volvulus; restricted to the UGI series and CT it is estimable, and a Firth penalised estimate of the separated contrast is given in Online Resource 2. In the subgroup receiving all three modalities, detection was compared with Cochran's Q, the exact McNemar test and paired differences with bootstrap CIs (Online Resource 2). The temporal change was examined with modality-specific logistic models of detection on era, before and after adding that modality's content variable, reported as odds ratios and as average marginal effects, because a conditional odds ratio attenuates when a predictive covariate is added even without mediation; the era boundary was varied from 2019 to 2022. Attenuation was read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inspecting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had at least one and 59 had all three. The remaining 55 (11.8%) had none of the three, but none was operated on without imaging — the five with no in-hospital study each had imaging before transfer — and they were older and less often had volvulus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went to children with volvulus more often, its use rising from 13% to 48% of operated children between eras. The UGI series was the last preoperative test in 75.1% of children who received it against 19.2% for CT, with higher detection in that position (80.4% vs 70.5%) — the confirmatory study before operation, a feature of the pathway rather than the test.</w:t>
      </w:r>
    </w:p>
    <w:p>
      <w:pPr>
        <w:pStyle w:val="Heading2"/>
      </w:pPr>
      <w:r>
        <w:t>Report-level detection and certainty of wording</w:t>
      </w:r>
    </w:p>
    <w:p>
      <w:pPr>
        <w:spacing w:after="160"/>
      </w:pPr>
      <w:r>
        <w:t>Detection was 237/301 (78.7%, 95% CI 73.8–83.0) for the UGI series, 171/320 (53.4%, 48.0–58.8) for CT and 65/119 (54.6%, 45.7–63.3) for ultrasound (Table 2, Fig. 2) — indication-selected denominators from overlapping groups, not a ranking. CT and ultrasound had lower odds of a positive report than the UGI series (odds ratio 0.31 and 0.33 unadjusted, 0.29 and 0.27 adjusted), and the same model showed higher detection above 1 year (3.14, 1.71–5.75) and in the later era (1.79, 1.20–2.68); these coefficients absorb indication, pathway position and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What the ultrasound examinations contained</w:t>
      </w:r>
    </w:p>
    <w:p>
      <w:pPr>
        <w:spacing w:after="160"/>
      </w:pPr>
      <w:r>
        <w:t>The central finding is the content of the 119 ultrasound index examinations (Table 3, Fig. 3). Three (2.5%; 95% CI 0.9–7.2) documented D3 or the duodenojejunal junction and seven (5.9%) mentioned the duodenum at all. Twelve (10.1%) addressed the mesenteric artery–vein relationship, and one stated the vessels were inverted — although inversion was one of the two criteria defining a positive ultrasound. Enteric fluid was recorded twice, dynamic assessment three times and graded compression once, against colour Doppler in 116 (97.5%). By contrast, 58 (48.7%) reported a whirlpool, and bowel gas limited 30 (25.2%).</w:t>
      </w:r>
    </w:p>
    <w:p>
      <w:pPr>
        <w:spacing w:after="160"/>
      </w:pPr>
      <w:r>
        <w:t>The three show what the audit detects: in 2018 the horizontal duodenum was described passing anterior to the superior mesenteric artery after oral contrast; in 2022 it was followed between the artery and the aorta into the left upper abdomen with the duodenojejunal junction identified, the only examination resembling the published protocol.</w:t>
      </w:r>
    </w:p>
    <w:p>
      <w:pPr>
        <w:spacing w:after="160"/>
      </w:pPr>
      <w:r>
        <w:t>Detection followed this content closely. Ultrasound named malrotation in 58 of the 58 examinations reporting a whirlpool and in 7 of the 61 without one (11.5%, 95% CI 5.7–21.8). That contrast is partly definitional, a whirlpool being itself a positivity criterion; all 58 of those conclusions named malrotation or volvulus outright. The informative half is the converse: a whirlpool was reported in only 58 of the 113 children (51.3%) whose operation confirmed midgut volvulus. Ten of the 12 examinations addressing the mesenteric vessels were positive, the exceptions recording the relationship as normal (Table 3).</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Detection changed over time, tracking examination content</w:t>
      </w:r>
    </w:p>
    <w:p>
      <w:pPr>
        <w:spacing w:after="160"/>
      </w:pPr>
      <w:r>
        <w:t>Ultrasound detection was 41.0% (16/39) in 2012–2018 and 61.3% (49/80) in 2019–2026; CT 47.0% and 66.7%; UGI 77.1% and 82.3% (Table 4). For ultrasound the change tracked how the examination was booked: sessions including a great-vessel study rose from 33.3% to 67.5%, and adding that indicator halved the era effect, from +20.2 (95% CI +1.8 to +38.8) to +10.3 (−10.3 to +30.1) percentage points, while the indicator itself carried an odds ratio of 3.35 (1.51–7.44). Moving the era boundary from 2019 to 2022 left the examination-type odds ratio between 3.07 and 3.85 (all p≤0.007) while the era odds ratio swung from 2.82 to 1.25 (Online Resource 2). The era-by-booking interaction was not significant, so the effect of examination type did not itself change between eras. The booking shift tracked whirlpool reporting but not duodenal assessment. CT showed a comparable change only partly explained by contrast enhancement; the UGI series showed none (Table 4).</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The selected subgroup, and populations this cohort omits</w:t>
      </w:r>
    </w:p>
    <w:p>
      <w:pPr>
        <w:spacing w:after="160"/>
      </w:pPr>
      <w:r>
        <w:t>Fifty-nine children underwent all three modalities — not a random sample but a subgroup in whom the diagnosis had remained uncertain, more severely affected than the other 351 imaged children (96.6% vs 86.6% volvulus; 83.1% vs 65.5% neonates). The UGI series was positive in 76.3%, ultrasound in 52.5% and CT in 47.5% (Cochran's Q p=0.001; UGI exceeded CT by 28.8 percentage points, 95% CI +13.6 to +44.1, and ultrasound by 23.7, +8.5 to +39.0, while CT and ultrasound did not differ), unchanged within 48 h or 24 h (Online Resource 2) — reporting within one selected subgroup, not accuracy. Only 6 of the 62 children with malrotation but no volvulus underwent ultrasound and none had a positive report; a Firth penalised model supports the direction of that contrast but not its magnitude (Online Resource 2). The cohort therefore says little about the children the ultrasound-first debate concerns.</w:t>
      </w:r>
    </w:p>
    <w:p>
      <w:pPr>
        <w:pStyle w:val="Heading1"/>
      </w:pPr>
      <w:r>
        <w:t>Discussion</w:t>
      </w:r>
    </w:p>
    <w:p>
      <w:pPr>
        <w:spacing w:after="160"/>
      </w:pPr>
      <w:r>
        <w:t>In 13.5 years of routine practice, ultrasound reports for children who proved to have intestinal malrotation almost never recorded the duodenal anatomy on which contemporary ultrasound accuracy depends: D3 or the duodenojejunal junction in three of 119 examinations, the mesenteric vessels in 12, enteric fluid in two. What they did contain was the whirlpool sign — in about half of all examinations, and in only half of the children whose operation confirmed volvulus. Ultrasound here functioned as a test for midgut volvulus, and an imperfect one.</w:t>
      </w:r>
    </w:p>
    <w:p>
      <w:pPr>
        <w:spacing w:after="160"/>
      </w:pPr>
      <w:r>
        <w:t>This frames the most-cited number in our data. Ultrasound named malrotation in 54.6% of the surgically confirmed children who underwent it, against sensitivities of 93–97% in children investigated for suspicion [8, 9, 12, 19]. The two are not interchangeable — ours is conditioned on confirmed disease and on whatever indications selected these children, so the difference mixes case-mix with technique — but the audit shows the technique component is real. The published figures came from examinations that assessed D3, the most accurate single sign in the 2025 multicentre series [12], and the duodenojejunal junction, often with enteric fluid, by readers alert to the diagnosis [18, 20, 21]; ours did not. The 2021 systematic review anticipated this, finding better performance where the mesenteric vessels and enteric fluid were used [8].</w:t>
      </w:r>
    </w:p>
    <w:p>
      <w:pPr>
        <w:spacing w:after="160"/>
      </w:pPr>
      <w:r>
        <w:t>The temporal analysis points the same way without settling it. Detection improved from 41% to 61%, but the improvement tracked what the examination was: adding the great-vessel indicator halved the era effect on the risk-difference scale, whereas the examination-type effect was stable wherever the era boundary fell. Two cautions apply. The booking category was not randomised — a child suspected of volvulus is both more likely to be booked for a vessel study and more likely to have a whirlpool to find, so indication and technique cannot be separated; and the adjusted marginal effect has a wide interval including zero, so the analysis bounds the era contribution rather than removing it. The department's account is consistent: no equipment, staffing or protocol change, and growing awareness from about 2021 — attached to the whirlpool sign rather than duodenal anatomy, so even the improvement ran toward detecting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it — an incorporation bias asymmetrical between tests. Pathway position differed, the UGI series being last before operation in 75% of children who received it. And the modalities were used in different children for different reasons (Table 1), which no adjustment can undo.</w:t>
      </w:r>
    </w:p>
    <w:p>
      <w:pPr>
        <w:spacing w:after="160"/>
      </w:pPr>
      <w:r>
        <w:t>Departments adopting an ultrasound-first pathway on the strength of 93–97% sensitivities should first establish that their examinations resemble those that produced them. Awareness alone moved detection from 41% to 61% here but left the duodenal landmarks all but unexamined; a structured report requiring explicit statements about D3, the duodenojejunal junction, the vessel relationship and study adequacy would make the gap auditable. Where such an examination cannot be delivered, a negative ultrasound should not exclude malrotation.</w:t>
      </w:r>
    </w:p>
    <w:p>
      <w:pPr>
        <w:pStyle w:val="Heading2"/>
      </w:pPr>
      <w:r>
        <w:t>Limitations</w:t>
      </w:r>
    </w:p>
    <w:p>
      <w:pPr>
        <w:spacing w:after="160"/>
      </w:pPr>
      <w:r>
        <w:t>This is not a diagnostic accuracy study: detection among surgically confirmed children who received a test does not transfer to children investigated for suspicion, in whom contemporary studies report far higher ultrasound performance [8, 12, 19]. The cohort contains only children who reached an operation, is skewed toward severe neonatal disease, and says little about older children with intermittent symptoms, incidental or non-volvulus malrotation, or stable outpatients. The 55 without an index test were excluded from the denominators, an informative missingness of unknown direction. The volvulus definition accepted any documented degree of rotation; restricting it to 360° or more moves prevalence from 86.7% to 82.6% without changing a conclusion (Online Resource 2).</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 the boundary of the question rather than a defect in answering it, since the report is what clinicians act on. The certainty tiers came from the same text and, unlike the positive–negative label, were not separately adjudicated. Radiation dose could not be captured, and whether this centre's deficit generalises is unknown.</w:t>
      </w:r>
    </w:p>
    <w:p>
      <w:pPr>
        <w:pStyle w:val="Heading1"/>
      </w:pPr>
      <w:r>
        <w:t>Conclusion</w:t>
      </w:r>
    </w:p>
    <w:p>
      <w:pPr>
        <w:spacing w:after="160"/>
      </w:pPr>
      <w:r>
        <w:t>Routine ultrasound reports for children with surgically confirmed intestinal malrotation documented the duodenal landmarks underpinning contemporary ultrasound accuracy in under 3% of examinations, and named the diagnosis almost only when a whirlpool sign was reported — which happened in about half of the children whose operation confirmed volvulus. Ultrasound here was, in practice, a test for midgut volvulus rather than for malrotation. These rates establish no specificity, predictive value or ranking, and are no argument against ultrasound-first pathways; they argue that a department's own technique and reporting content decide whether published performance is achievable locally — measurable, and correctable, by audit.</w:t>
      </w:r>
    </w:p>
    <w:p>
      <w:pPr>
        <w:pStyle w:val="Heading1"/>
      </w:pPr>
      <w:r>
        <w:t>Abbreviations</w:t>
      </w:r>
    </w:p>
    <w:p>
      <w:pPr>
        <w:spacing w:after="160"/>
      </w:pPr>
      <w:r>
        <w:t>CI: Confidence interval;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