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p>
      <w:pPr>
        <w:pStyle w:val="Heading1"/>
      </w:pPr>
      <w:r>
        <w:t>S2.5 Robustness of the three analytic choices a reader is most likely to question</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by itself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not a Wald one: under separation the two disagree here, the Wald interval spanning 0.77 to 401 and the profile interval 2.00 to 2310 (penalised likelihood-ratio p=0.006). The direction of the contrast is therefore supported — ultrasound was far more often positive when volvulus was present —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(2.00–2310,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