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5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an audit of 740 preoperative index examinations in 410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were obtained under favourable conditions, whereas clinical decisions rest on the routine report issued during unselected care. To our knowledge, no study has examined at scale what such reports contain.</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7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61% across the study period, and the change tracked how the examination was booked. Adjusting for a shift towards sessions that included an abdominal great-vessel study reduced the era effect from +20.2 to +10.3 percentage points, an interval that includes zero, while the booking indicator carried an odds ratio of 3.35. Booking category was not randomised and indication cannot be separated from technique in these data, so the analysis bounds the era contribution rather than removing it. The department's account is consistent: no change of equipment, staffing or protocol over the period, and growing awareness from about 2021 attached to the whirlpool sign rather than to duodenal anatomy, so that detection rose while duodenal documentation did not. The gap between published and delivered ultrasound performance therefore lies in technique and reporting, which an audit can measure.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Our recommendation is that a department audit its own reports before assuming that the published figures apply locally, and that a structured malrotation ultrasound report offers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wherever routine reports are stored electronically.</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