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2,999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64 of 119 examinations (53.8%): in 58 of 58 recording a whirlpool and 6 of 61 without one, whereas a whirlpool appeared in only 58 of 113 children with confirmed volvulus. Ultrasound detection rose from 41.0% to 60.0% between eras; adjusting for a shift towards great-vessel sessions reduced the difference from +19.0 to +8.2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single-centre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outright.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from the full report text and excluded from the agreement statistics. All seven being under-calls, every index unit was then screened in both directions: nine positives whose text matched no diagnostic term or sign pattern, and no negative naming the diagnosis. Source review confirmed three of the nine as over-calls, corrected to negative. Because adjudication read the whole report, the final label is the algorithmic label after review, not the conclusion alone.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the estimable UGI-versus-CT interaction and a Firth penalised estimate of the separated contrast are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(Table 4);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169/320 (52.8%, 47.3–58.2) for CT and 64/119 (53.8%, 44.8–62.5) for ultrasound (Table 2, Fig. 2). These denominators are indication-selected and overlapping, and are not a ranking. CT and ultrasound had lower odds of a positive report than the UGI series (adjusted odds ratio 0.29 and 0.26), and the same model showed higher detection above 1 year of age (3.02, 1.64–5.54) and in the later era (1.75, 1.18–2.62); these coefficients absorb indication, pathway position and examination content (Online Resource 2). Reclassifying possible-tier conclusions as negative reduced detection to 51.2%, 33.4% and 26.9%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169/320</w:t>
            </w:r>
          </w:p>
        </w:tc>
        <w:tc>
          <w:tcPr>
            <w:tcW w:type="dxa" w:w="1337"/>
          </w:tcPr>
          <w:p>
            <w:r/>
            <w:r>
              <w:rPr>
                <w:rFonts w:ascii="Times New Roman" w:hAnsi="Times New Roman"/>
                <w:sz w:val="17"/>
              </w:rPr>
              <w:t>52.8 (47.3–58.2)</w:t>
            </w:r>
          </w:p>
        </w:tc>
        <w:tc>
          <w:tcPr>
            <w:tcW w:type="dxa" w:w="1337"/>
          </w:tcPr>
          <w:p>
            <w:r/>
            <w:r>
              <w:rPr>
                <w:rFonts w:ascii="Times New Roman" w:hAnsi="Times New Roman"/>
                <w:sz w:val="17"/>
              </w:rPr>
              <w:t>33 (19.5)</w:t>
            </w:r>
          </w:p>
        </w:tc>
        <w:tc>
          <w:tcPr>
            <w:tcW w:type="dxa" w:w="1337"/>
          </w:tcPr>
          <w:p>
            <w:r/>
            <w:r>
              <w:rPr>
                <w:rFonts w:ascii="Times New Roman" w:hAnsi="Times New Roman"/>
                <w:sz w:val="17"/>
              </w:rPr>
              <w:t>74 (43.8)</w:t>
            </w:r>
          </w:p>
        </w:tc>
        <w:tc>
          <w:tcPr>
            <w:tcW w:type="dxa" w:w="1337"/>
          </w:tcPr>
          <w:p>
            <w:r/>
            <w:r>
              <w:rPr>
                <w:rFonts w:ascii="Times New Roman" w:hAnsi="Times New Roman"/>
                <w:sz w:val="17"/>
              </w:rPr>
              <w:t>62 (36.7)</w:t>
            </w:r>
          </w:p>
        </w:tc>
        <w:tc>
          <w:tcPr>
            <w:tcW w:type="dxa" w:w="1337"/>
          </w:tcPr>
          <w:p>
            <w:r/>
            <w:r>
              <w:rPr>
                <w:rFonts w:ascii="Times New Roman" w:hAnsi="Times New Roman"/>
                <w:sz w:val="17"/>
              </w:rPr>
              <w:t>33.4</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64/119</w:t>
            </w:r>
          </w:p>
        </w:tc>
        <w:tc>
          <w:tcPr>
            <w:tcW w:type="dxa" w:w="1337"/>
          </w:tcPr>
          <w:p>
            <w:r/>
            <w:r>
              <w:rPr>
                <w:rFonts w:ascii="Times New Roman" w:hAnsi="Times New Roman"/>
                <w:sz w:val="17"/>
              </w:rPr>
              <w:t>53.8 (44.8–62.5)</w:t>
            </w:r>
          </w:p>
        </w:tc>
        <w:tc>
          <w:tcPr>
            <w:tcW w:type="dxa" w:w="1337"/>
          </w:tcPr>
          <w:p>
            <w:r/>
            <w:r>
              <w:rPr>
                <w:rFonts w:ascii="Times New Roman" w:hAnsi="Times New Roman"/>
                <w:sz w:val="17"/>
              </w:rPr>
              <w:t>15 (23.4)</w:t>
            </w:r>
          </w:p>
        </w:tc>
        <w:tc>
          <w:tcPr>
            <w:tcW w:type="dxa" w:w="1337"/>
          </w:tcPr>
          <w:p>
            <w:r/>
            <w:r>
              <w:rPr>
                <w:rFonts w:ascii="Times New Roman" w:hAnsi="Times New Roman"/>
                <w:sz w:val="17"/>
              </w:rPr>
              <w:t>17 (26.6)</w:t>
            </w:r>
          </w:p>
        </w:tc>
        <w:tc>
          <w:tcPr>
            <w:tcW w:type="dxa" w:w="1337"/>
          </w:tcPr>
          <w:p>
            <w:r/>
            <w:r>
              <w:rPr>
                <w:rFonts w:ascii="Times New Roman" w:hAnsi="Times New Roman"/>
                <w:sz w:val="17"/>
              </w:rPr>
              <w:t>32 (50.0)</w:t>
            </w:r>
          </w:p>
        </w:tc>
        <w:tc>
          <w:tcPr>
            <w:tcW w:type="dxa" w:w="1337"/>
          </w:tcPr>
          <w:p>
            <w:r/>
            <w:r>
              <w:rPr>
                <w:rFonts w:ascii="Times New Roman" w:hAnsi="Times New Roman"/>
                <w:sz w:val="17"/>
              </w:rPr>
              <w:t>26.9</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42/52</w:t>
            </w:r>
          </w:p>
        </w:tc>
        <w:tc>
          <w:tcPr>
            <w:tcW w:type="dxa" w:w="1337"/>
          </w:tcPr>
          <w:p>
            <w:r/>
            <w:r>
              <w:rPr>
                <w:rFonts w:ascii="Times New Roman" w:hAnsi="Times New Roman"/>
                <w:sz w:val="17"/>
              </w:rPr>
              <w:t>80.8 (68.1–89.2)</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6 of the 61 without one (9.8%, 95% CI 4.6–19.8).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62/116 (53%)</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61/112 (54%)</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54/107 (50%)</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63/118 (53%)</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63/117 (54%)</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63/118 (53%)</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60/114 (53%)</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63/116 (54%)</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6/61 (10%)</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12/30 (40%)</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18/52 (35%)</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27/44 (61%)</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7/12 (58%)</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1/9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60.0% (48/80) in 2019–2026, and rose for CT but not the UGI series (Table 4). For ultrasound the change tracked how the examination was booked. Sessions including a great-vessel study rose from 33.3% to 67.5%, and adding this indicator reduced the era effect from +19.0 (95% CI +0.6 to +37.6) to +8.2 (−11.6 to +27.8) percentage points, the indicator carrying an odds ratio of 3.73 (1.67–8.33). Moving the era boundary from 2019 to 2022 left the examination-type odds ratio between 3.44 and 4.31, while the era odds ratio ranged from 2.67 to 1.14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100/215 (46.5%)</w:t>
            </w:r>
          </w:p>
        </w:tc>
        <w:tc>
          <w:tcPr>
            <w:tcW w:type="dxa" w:w="1337"/>
          </w:tcPr>
          <w:p>
            <w:r/>
            <w:r>
              <w:rPr>
                <w:rFonts w:ascii="Times New Roman" w:hAnsi="Times New Roman"/>
                <w:sz w:val="17"/>
              </w:rPr>
              <w:t>69/105 (65.7%)</w:t>
            </w:r>
          </w:p>
        </w:tc>
        <w:tc>
          <w:tcPr>
            <w:tcW w:type="dxa" w:w="1337"/>
          </w:tcPr>
          <w:p>
            <w:r/>
            <w:r>
              <w:rPr>
                <w:rFonts w:ascii="Times New Roman" w:hAnsi="Times New Roman"/>
                <w:sz w:val="17"/>
              </w:rPr>
              <w:t>2.20 (1.36–3.58), p=0.001</w:t>
            </w:r>
          </w:p>
        </w:tc>
        <w:tc>
          <w:tcPr>
            <w:tcW w:type="dxa" w:w="1337"/>
          </w:tcPr>
          <w:p>
            <w:r/>
            <w:r>
              <w:rPr>
                <w:rFonts w:ascii="Times New Roman" w:hAnsi="Times New Roman"/>
                <w:sz w:val="17"/>
              </w:rPr>
              <w:t>1.95 (1.19–3.22), p=0.009</w:t>
            </w:r>
          </w:p>
        </w:tc>
        <w:tc>
          <w:tcPr>
            <w:tcW w:type="dxa" w:w="1337"/>
          </w:tcPr>
          <w:p>
            <w:r/>
            <w:r>
              <w:rPr>
                <w:rFonts w:ascii="Times New Roman" w:hAnsi="Times New Roman"/>
                <w:sz w:val="17"/>
              </w:rPr>
              <w:t>Intravenous contrast enhancement 4.21 (2.01–8.81), p&lt;0.001</w:t>
            </w:r>
          </w:p>
        </w:tc>
        <w:tc>
          <w:tcPr>
            <w:tcW w:type="dxa" w:w="1337"/>
          </w:tcPr>
          <w:p>
            <w:r/>
            <w:r>
              <w:rPr>
                <w:rFonts w:ascii="Times New Roman" w:hAnsi="Times New Roman"/>
                <w:sz w:val="17"/>
              </w:rPr>
              <w:t>+19.2 → +15.5</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48/80 (60.0%)</w:t>
            </w:r>
          </w:p>
        </w:tc>
        <w:tc>
          <w:tcPr>
            <w:tcW w:type="dxa" w:w="1337"/>
          </w:tcPr>
          <w:p>
            <w:r/>
            <w:r>
              <w:rPr>
                <w:rFonts w:ascii="Times New Roman" w:hAnsi="Times New Roman"/>
                <w:sz w:val="17"/>
              </w:rPr>
              <w:t>2.16 (0.99–4.70), p=0.053</w:t>
            </w:r>
          </w:p>
        </w:tc>
        <w:tc>
          <w:tcPr>
            <w:tcW w:type="dxa" w:w="1337"/>
          </w:tcPr>
          <w:p>
            <w:r/>
            <w:r>
              <w:rPr>
                <w:rFonts w:ascii="Times New Roman" w:hAnsi="Times New Roman"/>
                <w:sz w:val="17"/>
              </w:rPr>
              <w:t>1.44 (0.62–3.37), p=0.399</w:t>
            </w:r>
          </w:p>
        </w:tc>
        <w:tc>
          <w:tcPr>
            <w:tcW w:type="dxa" w:w="1337"/>
          </w:tcPr>
          <w:p>
            <w:r/>
            <w:r>
              <w:rPr>
                <w:rFonts w:ascii="Times New Roman" w:hAnsi="Times New Roman"/>
                <w:sz w:val="17"/>
              </w:rPr>
              <w:t>Session included a great-vessel study 3.73 (1.67–8.33), p=0.001</w:t>
            </w:r>
          </w:p>
        </w:tc>
        <w:tc>
          <w:tcPr>
            <w:tcW w:type="dxa" w:w="1337"/>
          </w:tcPr>
          <w:p>
            <w:r/>
            <w:r>
              <w:rPr>
                <w:rFonts w:ascii="Times New Roman" w:hAnsi="Times New Roman"/>
                <w:sz w:val="17"/>
              </w:rPr>
              <w:t>+19.0 → +8.2</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45.8% (Cochran's Q p&lt;0.001; the UGI series exceeded CT by 30.5 percentage points, 95% CI +15.3 to +47.5, and ultrasound by 23.7, +8.5 to +39.0, while the CT–ultrasound difference was compatible with zero, −6.8, −20.3 to +6.8),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53.8%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60%, and the change tracked what the examination was: adding the great-vessel indicator more than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usually being the last preoperative test.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98.9%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6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