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2,976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As the cohort was surgically confirmed, the outcome was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describes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 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duodenal anatomy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93–97% for malrotation and 97% for volvulus [13], and a meta-analysis pooled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 17], the most accurate sign for malrotation in the 2025 series [13]; the duodenojejunal junction [12, 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ACR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 13, 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so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It was recorded in 59 of the 112 ultrasound-examined children with volvulus.</w:t>
      </w:r>
    </w:p>
    <w:p>
      <w:pPr>
        <w:spacing w:after="160" w:line="480" w:lineRule="auto"/>
      </w:pPr>
      <w:r>
        <w:t>• These are report-level detection rates among surgically confirmed children, not sensitivities; they do not establish specificity, predictive value or ranking of modalities, and do not argue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Chapman WW, Bridewell W, Hanbury P, Cooper GF, Buchanan BG. A simple algorithm for identifying negated findings and diseases in discharge summaries. </w:t>
      </w:r>
      <w:r>
        <w:rPr>
          <w:i/>
          <w:sz w:val="20"/>
        </w:rPr>
        <w:t>J Biomed Inform</w:t>
      </w:r>
      <w:r>
        <w:rPr>
          <w:sz w:val="20"/>
        </w:rPr>
        <w:t>. 2001;34:301-310. doi:10.1006/jbin.2001.1029</w:t>
      </w:r>
    </w:p>
    <w:p>
      <w:pPr>
        <w:spacing w:after="60" w:line="480" w:lineRule="auto"/>
      </w:pPr>
      <w:r>
        <w:rPr>
          <w:sz w:val="20"/>
        </w:rPr>
        <w:t xml:space="preserve">25.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26. Firth D. Bias reduction of maximum likelihood estimates. </w:t>
      </w:r>
      <w:r>
        <w:rPr>
          <w:i/>
          <w:sz w:val="20"/>
        </w:rPr>
        <w:t>Biometrika</w:t>
      </w:r>
      <w:r>
        <w:rPr>
          <w:sz w:val="20"/>
        </w:rPr>
        <w:t>. 1993;80:27-38. doi:10.1093/biomet/80.1.27</w:t>
      </w:r>
    </w:p>
    <w:p>
      <w:pPr>
        <w:spacing w:after="60" w:line="480" w:lineRule="auto"/>
      </w:pPr>
      <w:r>
        <w:rPr>
          <w:sz w:val="20"/>
        </w:rPr>
        <w:t xml:space="preserve">27.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28.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