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the same manuscript.</w:t>
      </w:r>
    </w:p>
    <w:p>
      <w:pPr>
        <w:spacing w:after="160"/>
      </w:pPr>
      <w:r>
        <w:rPr>
          <w:b/>
        </w:rPr>
        <w:t>Table S8.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The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does not show that duodenal position was assessed. As in the ultrasound audit in the main manuscript, these are associations within routine reports and are not adjusted for indication, age or era: a report that describes a mesenteric whirl is likely to conclude that malrotation is present. The tabulation shows how often each element was documented; it does not measure the strength of these associations.</w:t>
      </w:r>
    </w:p>
    <w:p>
      <w:pPr>
        <w:spacing w:after="160"/>
      </w:pPr>
      <w:r>
        <w:t>Two features of these reports are relevant to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which renders the whirl visible, was used in only 16.0%; together these account for most of the observed CT detection rate.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