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日期已填 2026 年 9 月 5 日；若实际投稿日不同，改成投稿当天。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2,998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an audit of 740 preoperative index examinations in 410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whirlpool sign was recorded in only half the children with confirmed volvulus.</w:t>
      </w:r>
    </w:p>
    <w:p>
      <w:pPr>
        <w:spacing w:after="160"/>
      </w:pPr>
      <w:r>
        <w:t>Detection rose with a change in examination type as much as with calendar era.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Departments adopting ultrasound-first pathways for malrotation should audit whether their own reports document the duodenal landmarks that produced the published sensitivities; in this department they almost never did.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投稿信的前次评审披露段：已删除。</w:t>
      </w:r>
      <w:r>
        <w:t xml:space="preserve"> 投稿信不再提及前次投稿与评审。若 Editorial Manager 的投稿流程中出现"是否曾在其他期刊投稿"一类的必答问项，据实回答即可，但不必在投稿信正文中主动展开。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3,000 词，摘要 248 词，Critical relevance statement 28 词。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9–14 词，未复用摘要或正文原句；与正文 Key Points 节逐字一致。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