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3,000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basis of sensitivities of 93–97% obtained under dedicated protocols. We audited what routine reports document and whether the diagnosis was reported.</w:t>
      </w:r>
    </w:p>
    <w:p>
      <w:pPr>
        <w:spacing w:after="160"/>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The cohort being surgically confirmed, the outcome is report-level detection among children who underwent the test; specificity, predictive values and comparative accuracy are not estimable.</w:t>
      </w:r>
    </w:p>
    <w:p>
      <w:pPr>
        <w:spacing w:after="160"/>
      </w:pPr>
      <w:r>
        <w:rPr>
          <w:b/>
        </w:rPr>
        <w:t>Results</w:t>
      </w:r>
      <w:r>
        <w:t xml:space="preserve"> Among 465 children (volvulus in 86.7%), 410 underwent at least one index test. Three of 119 ultrasound examinations (2.5%) documented the third portion of the duodenum or the duodenojejunal junction, 12 (10.1%) the mesenteric artery–vein relationship and 2 (1.7%) enteric fluid; a whirlpool sign was reported in 48.7%. Ultrasound reported malrotation in 65 of 119 examinations (54.6%): in 58 of 58 recording a whirlpool and 7 of 61 without one, whereas a whirlpool appeared in only 58 of 113 children with confirmed volvulus. Ultrasound detection rose from 41.0% to 61.3% between eras; adjusting for a shift towards great-vessel sessions reduced the difference from +20.2 to +10.3 percentage points, an interval including zero.</w:t>
      </w:r>
    </w:p>
    <w:p>
      <w:pPr>
        <w:spacing w:after="160"/>
      </w:pPr>
      <w:r>
        <w:rPr>
          <w:b/>
        </w:rPr>
        <w:t>Conclusions</w:t>
      </w:r>
      <w:r>
        <w:t xml:space="preserve"> Routine ultrasound functioned as a whirlpool-dependent test for volvulus rather than a protocolised assessment of duodenal position. Whether supplying the missing elements would close the gap to published performance cannot be tested here, but it coincides with a measurable documentation deficit.</w:t>
      </w:r>
    </w:p>
    <w:p>
      <w:pPr>
        <w:spacing w:after="160"/>
      </w:pPr>
      <w:r>
        <w:rPr>
          <w:b/>
        </w:rPr>
        <w:t>Critical relevance statement</w:t>
      </w:r>
      <w:r>
        <w:t xml:space="preserve"> Departments adopting ultrasound-first pathways for malrotation should audit whether their own reports document the duodenal landmarks that produced the published sensitivities; in this department they almost never did.</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A whirlpool sign was recorded in only half the children with confirmed volvulus.</w:t>
      </w:r>
    </w:p>
    <w:p>
      <w:pPr>
        <w:spacing w:after="160"/>
      </w:pPr>
      <w:r>
        <w:t>• Detection rose with a change in examination type as much as with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[5–7], although its interpretation has well-described mimics [8]. Abdominal CT is not a dedicated test, and the mesenteric swirl it may show is neither reliably present nor specific in children [9, 10]. The field has moved towards ultrasound: series report sensitivities of 93–97% under dedicated protocols, a systematic review of 17 studies and 2,257 children estimated a pooled sensitivity of 94% [11–13], and a multicentre study of 539 children investigated for clinical suspicion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pPr>
      <w:r>
        <w:t>Those studies describe what ultrasound achieves under favourable conditions; clinicians act on the routine report issued during unselected care. To our knowledge, no study has examined the content of routine malrotation ultrasound reports at scale, or related it to whether the diagnosis was reported.</w:t>
      </w:r>
    </w:p>
    <w:p>
      <w:pPr>
        <w:spacing w:after="160"/>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 which this design cannot do.</w:t>
      </w:r>
    </w:p>
    <w:p>
      <w:pPr>
        <w:pStyle w:val="Heading1"/>
      </w:pPr>
      <w:r>
        <w:t>Methods</w:t>
      </w:r>
    </w:p>
    <w:p>
      <w:pPr>
        <w:pStyle w:val="Heading2"/>
      </w:pPr>
      <w:r>
        <w:t>Design, terminology and estimable quantities</w:t>
      </w:r>
    </w:p>
    <w:p>
      <w:pPr>
        <w:spacing w:after="160"/>
      </w:pPr>
      <w:r>
        <w:t xml:space="preserve">This was a retrospective, single-centre,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Online Resource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This yielded 740 index examinations from 778 reports; 34 earlier repeat examinations were not audited (Fig. 1). The clinical indication on each request was not retrievable, so confounding by indication is displayed through the characteristics of each modality group (Table 1) rather than adjusted for.</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pPr>
      <w:r>
        <w:t>Each index unit was coded for documented technical content using text patterns applied to the findings and conclusion sections: for ultrasound, D3 or the duodenojejunal junction, the mesenteric artery–vein relationship and vessel inversion, a whirlpool appearance, enteric fluid, dynamic and graded-compression technique, limiting bowel gas, caecal position and bedside performance; for CT and the UGI series, the corresponding landmarks (Online Resource 1). Technique elements were counted as documented whether the finding was normal or abnormal, since an examination reporting the vessel relationship as normal had assessed the vessels. The whirlpool sign, a finding rather than a technique, was counted only where not negated.</w:t>
      </w:r>
    </w:p>
    <w:p>
      <w:pPr>
        <w:spacing w:after="160"/>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Tentative phrasing is standard here, so the certainty tier of every positive conclusion was tabulated and the analyses repeated with "possible" tiers counted as negative.</w:t>
      </w:r>
    </w:p>
    <w:p>
      <w:pPr>
        <w:spacing w:after="160"/>
      </w:pPr>
      <w:r>
        <w:t>Report text was classified using a rule-based, clause-level algorithm with explicit negation handling [21]; the rule dictionary, negation logic, per-modality label distribution and worked misclassification examples are given in Online Resource 1. A paediatric surgeon blinded to the operative findings adjudicated 32 reports. Agreement was 92% (Cohen kappa 0.83) in a stratified random sample of 24, and a targeted review of 8 suspected discordances identified 5 further under-calls, corrected but excluded from the agreement statistics. All discordances were machine under-calls, so detection rates are conservative. With a single adjudicator, interobserver agreement could not be estimated.</w:t>
      </w:r>
    </w:p>
    <w:p>
      <w:pPr>
        <w:pStyle w:val="Heading2"/>
      </w:pPr>
      <w:r>
        <w:t>Statistical analysis</w:t>
      </w:r>
    </w:p>
    <w:p>
      <w:pPr>
        <w:spacing w:after="160"/>
      </w:pPr>
      <w:r>
        <w:t>Detection rates are presented with Wilson 95% confidence intervals (CIs), with denominators shown wherever a rate appears. All analysis variables were complete. Between-modality comparison used a generalised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six children without volvulus; it is estimable when restricted to the UGI series and CT, and a Firth penalised estimate of the separated contrast is given in Online Resource 2 [23, 24]. In the subgroup that underwent all three modalities, detection was compared using Cochran's Q, the exact McNemar test and paired differences with bootstrap CIs (Online Resource 2). The temporal change was examined using modality-specific logistic models of detection on era, before and after adding that modality's content variable, reported as odds ratios and as average marginal effects, because a conditional odds ratio attenuates when a predictive covariate is added even in the absence of mediation; the era boundary was varied from 2019 to 2022. Attenuation was interpreted as consistent with the change operating through examination content rather than calendar time, not as a mediation estimate; era-by-content interaction terms were also fitted. P values were not adjusted for multiplicity, and Online Resource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underwent at least one and 59 all three. The remaining 55 (11.8%) underwent none of the three, but all had other preoperative imaging; in five it was documented before transfer (Table 1, Fig. 1).</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was performed more often in children with volvulus, its use rising from 13% to 48% of operated children between eras. Among children who underwent more than one index test, the UGI series was the last preoperative test in 75.1% of those who received it against 19.2% for CT, and detection was higher in that position (80.4% vs 70.5% for the UGI series), a feature of the pathway rather than of the test.</w:t>
      </w:r>
    </w:p>
    <w:p>
      <w:pPr>
        <w:pStyle w:val="Heading2"/>
      </w:pPr>
      <w:r>
        <w:t>Detection and certainty of wording</w:t>
      </w:r>
    </w:p>
    <w:p>
      <w:pPr>
        <w:spacing w:after="160"/>
      </w:pPr>
      <w:r>
        <w:t>Detection was 237/301 (78.7%, 95% CI 73.8–83.0) for the UGI series, 171/320 (53.4%, 48.0–58.8) for CT and 65/119 (54.6%, 45.7–63.3) for ultrasound (Table 2, Fig. 2). These denominators are indication-selected and overlapping, and are not a ranking. CT and ultrasound had lower odds of a positive report than the UGI series (adjusted odds ratio 0.29 and 0.27), and the same model showed higher detection above 1 year of age (3.14, 1.71–5.75) and in the later era (1.79, 1.20–2.68); these coefficients absorb indication, pathway position and examination content (Online Resource 2). Reclassifying possible-tier conclusions as negative reduced detection to 51.2%, 34.1% and 27.7% (Table 2).</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Documented content of ultrasound examinations</w:t>
      </w:r>
    </w:p>
    <w:p>
      <w:pPr>
        <w:spacing w:after="160"/>
      </w:pPr>
      <w:r>
        <w:t>Of the 119 ultrasound index examinations, three (2.5%; 95% CI 0.9–7.2) documented D3 or the duodenojejunal junction and seven (5.9%) mentioned the duodenum (Table 3, Fig. 3). Twelve (10.1%) addressed the mesenteric artery–vein relationship, and one stated that the vessels were inverted, although inversion was one of the two positivity criteria. Enteric fluid was recorded twice and graded compression once; a whirlpool was reported in 58 examinations (48.7%) and bowel gas limited 30 (25.2%).</w:t>
      </w:r>
    </w:p>
    <w:p>
      <w:pPr>
        <w:spacing w:after="160"/>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pPr>
      <w:r>
        <w:t>Detection followed this content closely. Malrotation was reported in 58 of the 58 examinations recording a whirlpool and in 7 of the 61 without one (11.5%, 95% CI 5.7–21.8). This contrast is partly definitional, as a whirlpool is itself a positivity criterion, and all 58 of those conclusions named malrotation or volvulus explicitly. The converse is more informative: a whirlpool was recorded in only 58 of the 113 children (51.3%) in whom operation confirmed midgut volvulus.</w:t>
      </w:r>
    </w:p>
    <w:p>
      <w:pPr>
        <w:spacing w:after="160"/>
      </w:pPr>
      <w:r>
        <w:rPr>
          <w:b/>
        </w:rPr>
        <w:t>Table 3. Documented content of the 119 routine gastrointestinal ultrasound index examinations,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examination</w:t>
            </w:r>
          </w:p>
        </w:tc>
        <w:tc>
          <w:tcPr>
            <w:tcW w:type="dxa" w:w="1560"/>
          </w:tcPr>
          <w:p>
            <w:r/>
            <w:r>
              <w:rPr>
                <w:rFonts w:ascii="Times New Roman" w:hAnsi="Times New Roman"/>
                <w:b/>
                <w:sz w:val="17"/>
              </w:rPr>
              <w:t>n (%) of 119</w:t>
            </w:r>
          </w:p>
        </w:tc>
        <w:tc>
          <w:tcPr>
            <w:tcW w:type="dxa" w:w="1560"/>
          </w:tcPr>
          <w:p>
            <w:r/>
            <w:r>
              <w:rPr>
                <w:rFonts w:ascii="Times New Roman" w:hAnsi="Times New Roman"/>
                <w:b/>
                <w:sz w:val="17"/>
              </w:rPr>
              <w:t>2012–2018 (n=39)</w:t>
            </w:r>
          </w:p>
        </w:tc>
        <w:tc>
          <w:tcPr>
            <w:tcW w:type="dxa" w:w="1560"/>
          </w:tcPr>
          <w:p>
            <w:r/>
            <w:r>
              <w:rPr>
                <w:rFonts w:ascii="Times New Roman" w:hAnsi="Times New Roman"/>
                <w:b/>
                <w:sz w:val="17"/>
              </w:rPr>
              <w:t>2019–2026 (n=80)</w:t>
            </w:r>
          </w:p>
        </w:tc>
        <w:tc>
          <w:tcPr>
            <w:tcW w:type="dxa" w:w="1560"/>
          </w:tcPr>
          <w:p>
            <w:r/>
            <w:r>
              <w:rPr>
                <w:rFonts w:ascii="Times New Roman" w:hAnsi="Times New Roman"/>
                <w:b/>
                <w:sz w:val="17"/>
              </w:rPr>
              <w:t>Detection when documented</w:t>
            </w:r>
          </w:p>
        </w:tc>
        <w:tc>
          <w:tcPr>
            <w:tcW w:type="dxa" w:w="1560"/>
          </w:tcPr>
          <w:p>
            <w:r/>
            <w:r>
              <w:rPr>
                <w:rFonts w:ascii="Times New Roman" w:hAnsi="Times New Roman"/>
                <w:b/>
                <w:sz w:val="17"/>
              </w:rPr>
              <w:t>Detection when not documented</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3 (2.5)</w:t>
            </w:r>
          </w:p>
        </w:tc>
        <w:tc>
          <w:tcPr>
            <w:tcW w:type="dxa" w:w="1560"/>
          </w:tcPr>
          <w:p>
            <w:r/>
            <w:r>
              <w:rPr>
                <w:rFonts w:ascii="Times New Roman" w:hAnsi="Times New Roman"/>
                <w:sz w:val="17"/>
              </w:rPr>
              <w:t>1</w:t>
            </w:r>
          </w:p>
        </w:tc>
        <w:tc>
          <w:tcPr>
            <w:tcW w:type="dxa" w:w="1560"/>
          </w:tcPr>
          <w:p>
            <w:r/>
            <w:r>
              <w:rPr>
                <w:rFonts w:ascii="Times New Roman" w:hAnsi="Times New Roman"/>
                <w:sz w:val="17"/>
              </w:rPr>
              <w:t>2</w:t>
            </w:r>
          </w:p>
        </w:tc>
        <w:tc>
          <w:tcPr>
            <w:tcW w:type="dxa" w:w="1560"/>
          </w:tcPr>
          <w:p>
            <w:r/>
            <w:r>
              <w:rPr>
                <w:rFonts w:ascii="Times New Roman" w:hAnsi="Times New Roman"/>
                <w:sz w:val="17"/>
              </w:rPr>
              <w:t>2/3</w:t>
            </w:r>
          </w:p>
        </w:tc>
        <w:tc>
          <w:tcPr>
            <w:tcW w:type="dxa" w:w="1560"/>
          </w:tcPr>
          <w:p>
            <w:r/>
            <w:r>
              <w:rPr>
                <w:rFonts w:ascii="Times New Roman" w:hAnsi="Times New Roman"/>
                <w:sz w:val="17"/>
              </w:rPr>
              <w:t>63/116 (54%)</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7 (5.9)</w:t>
            </w:r>
          </w:p>
        </w:tc>
        <w:tc>
          <w:tcPr>
            <w:tcW w:type="dxa" w:w="1560"/>
          </w:tcPr>
          <w:p>
            <w:r/>
            <w:r>
              <w:rPr>
                <w:rFonts w:ascii="Times New Roman" w:hAnsi="Times New Roman"/>
                <w:sz w:val="17"/>
              </w:rPr>
              <w:t>3</w:t>
            </w:r>
          </w:p>
        </w:tc>
        <w:tc>
          <w:tcPr>
            <w:tcW w:type="dxa" w:w="1560"/>
          </w:tcPr>
          <w:p>
            <w:r/>
            <w:r>
              <w:rPr>
                <w:rFonts w:ascii="Times New Roman" w:hAnsi="Times New Roman"/>
                <w:sz w:val="17"/>
              </w:rPr>
              <w:t>4</w:t>
            </w:r>
          </w:p>
        </w:tc>
        <w:tc>
          <w:tcPr>
            <w:tcW w:type="dxa" w:w="1560"/>
          </w:tcPr>
          <w:p>
            <w:r/>
            <w:r>
              <w:rPr>
                <w:rFonts w:ascii="Times New Roman" w:hAnsi="Times New Roman"/>
                <w:sz w:val="17"/>
              </w:rPr>
              <w:t>3/7</w:t>
            </w:r>
          </w:p>
        </w:tc>
        <w:tc>
          <w:tcPr>
            <w:tcW w:type="dxa" w:w="1560"/>
          </w:tcPr>
          <w:p>
            <w:r/>
            <w:r>
              <w:rPr>
                <w:rFonts w:ascii="Times New Roman" w:hAnsi="Times New Roman"/>
                <w:sz w:val="17"/>
              </w:rPr>
              <w:t>62/112 (55%)</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12 (10.1)</w:t>
            </w:r>
          </w:p>
        </w:tc>
        <w:tc>
          <w:tcPr>
            <w:tcW w:type="dxa" w:w="1560"/>
          </w:tcPr>
          <w:p>
            <w:r/>
            <w:r>
              <w:rPr>
                <w:rFonts w:ascii="Times New Roman" w:hAnsi="Times New Roman"/>
                <w:sz w:val="17"/>
              </w:rPr>
              <w:t>3</w:t>
            </w:r>
          </w:p>
        </w:tc>
        <w:tc>
          <w:tcPr>
            <w:tcW w:type="dxa" w:w="1560"/>
          </w:tcPr>
          <w:p>
            <w:r/>
            <w:r>
              <w:rPr>
                <w:rFonts w:ascii="Times New Roman" w:hAnsi="Times New Roman"/>
                <w:sz w:val="17"/>
              </w:rPr>
              <w:t>9</w:t>
            </w:r>
          </w:p>
        </w:tc>
        <w:tc>
          <w:tcPr>
            <w:tcW w:type="dxa" w:w="1560"/>
          </w:tcPr>
          <w:p>
            <w:r/>
            <w:r>
              <w:rPr>
                <w:rFonts w:ascii="Times New Roman" w:hAnsi="Times New Roman"/>
                <w:sz w:val="17"/>
              </w:rPr>
              <w:t>10/12 (83%)</w:t>
            </w:r>
          </w:p>
        </w:tc>
        <w:tc>
          <w:tcPr>
            <w:tcW w:type="dxa" w:w="1560"/>
          </w:tcPr>
          <w:p>
            <w:r/>
            <w:r>
              <w:rPr>
                <w:rFonts w:ascii="Times New Roman" w:hAnsi="Times New Roman"/>
                <w:sz w:val="17"/>
              </w:rPr>
              <w:t>55/107 (51%)</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w:t>
            </w:r>
          </w:p>
        </w:tc>
        <w:tc>
          <w:tcPr>
            <w:tcW w:type="dxa" w:w="1560"/>
          </w:tcPr>
          <w:p>
            <w:r/>
            <w:r>
              <w:rPr>
                <w:rFonts w:ascii="Times New Roman" w:hAnsi="Times New Roman"/>
                <w:sz w:val="17"/>
              </w:rPr>
              <w:t>1</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1</w:t>
            </w:r>
          </w:p>
        </w:tc>
        <w:tc>
          <w:tcPr>
            <w:tcW w:type="dxa" w:w="1560"/>
          </w:tcPr>
          <w:p>
            <w:r/>
            <w:r>
              <w:rPr>
                <w:rFonts w:ascii="Times New Roman" w:hAnsi="Times New Roman"/>
                <w:sz w:val="17"/>
              </w:rPr>
              <w:t>1</w:t>
            </w:r>
          </w:p>
        </w:tc>
        <w:tc>
          <w:tcPr>
            <w:tcW w:type="dxa" w:w="1560"/>
          </w:tcPr>
          <w:p>
            <w:r/>
            <w:r>
              <w:rPr>
                <w:rFonts w:ascii="Times New Roman" w:hAnsi="Times New Roman"/>
                <w:sz w:val="17"/>
              </w:rPr>
              <w:t>1/2</w:t>
            </w:r>
          </w:p>
        </w:tc>
        <w:tc>
          <w:tcPr>
            <w:tcW w:type="dxa" w:w="1560"/>
          </w:tcPr>
          <w:p>
            <w:r/>
            <w:r>
              <w:rPr>
                <w:rFonts w:ascii="Times New Roman" w:hAnsi="Times New Roman"/>
                <w:sz w:val="17"/>
              </w:rPr>
              <w:t>64/117 (55%)</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3 (2.5)</w:t>
            </w:r>
          </w:p>
        </w:tc>
        <w:tc>
          <w:tcPr>
            <w:tcW w:type="dxa" w:w="1560"/>
          </w:tcPr>
          <w:p>
            <w:r/>
            <w:r>
              <w:rPr>
                <w:rFonts w:ascii="Times New Roman" w:hAnsi="Times New Roman"/>
                <w:sz w:val="17"/>
              </w:rPr>
              <w:t>0</w:t>
            </w:r>
          </w:p>
        </w:tc>
        <w:tc>
          <w:tcPr>
            <w:tcW w:type="dxa" w:w="1560"/>
          </w:tcPr>
          <w:p>
            <w:r/>
            <w:r>
              <w:rPr>
                <w:rFonts w:ascii="Times New Roman" w:hAnsi="Times New Roman"/>
                <w:sz w:val="17"/>
              </w:rPr>
              <w:t>3</w:t>
            </w:r>
          </w:p>
        </w:tc>
        <w:tc>
          <w:tcPr>
            <w:tcW w:type="dxa" w:w="1560"/>
          </w:tcPr>
          <w:p>
            <w:r/>
            <w:r>
              <w:rPr>
                <w:rFonts w:ascii="Times New Roman" w:hAnsi="Times New Roman"/>
                <w:sz w:val="17"/>
              </w:rPr>
              <w:t>1/3</w:t>
            </w:r>
          </w:p>
        </w:tc>
        <w:tc>
          <w:tcPr>
            <w:tcW w:type="dxa" w:w="1560"/>
          </w:tcPr>
          <w:p>
            <w:r/>
            <w:r>
              <w:rPr>
                <w:rFonts w:ascii="Times New Roman" w:hAnsi="Times New Roman"/>
                <w:sz w:val="17"/>
              </w:rPr>
              <w:t>64/116 (55%)</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1</w:t>
            </w:r>
          </w:p>
        </w:tc>
        <w:tc>
          <w:tcPr>
            <w:tcW w:type="dxa" w:w="1560"/>
          </w:tcPr>
          <w:p>
            <w:r/>
            <w:r>
              <w:rPr>
                <w:rFonts w:ascii="Times New Roman" w:hAnsi="Times New Roman"/>
                <w:sz w:val="17"/>
              </w:rPr>
              <w:t>0</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5 (4.2)</w:t>
            </w:r>
          </w:p>
        </w:tc>
        <w:tc>
          <w:tcPr>
            <w:tcW w:type="dxa" w:w="1560"/>
          </w:tcPr>
          <w:p>
            <w:r/>
            <w:r>
              <w:rPr>
                <w:rFonts w:ascii="Times New Roman" w:hAnsi="Times New Roman"/>
                <w:sz w:val="17"/>
              </w:rPr>
              <w:t>1</w:t>
            </w:r>
          </w:p>
        </w:tc>
        <w:tc>
          <w:tcPr>
            <w:tcW w:type="dxa" w:w="1560"/>
          </w:tcPr>
          <w:p>
            <w:r/>
            <w:r>
              <w:rPr>
                <w:rFonts w:ascii="Times New Roman" w:hAnsi="Times New Roman"/>
                <w:sz w:val="17"/>
              </w:rPr>
              <w:t>4</w:t>
            </w:r>
          </w:p>
        </w:tc>
        <w:tc>
          <w:tcPr>
            <w:tcW w:type="dxa" w:w="1560"/>
          </w:tcPr>
          <w:p>
            <w:r/>
            <w:r>
              <w:rPr>
                <w:rFonts w:ascii="Times New Roman" w:hAnsi="Times New Roman"/>
                <w:sz w:val="17"/>
              </w:rPr>
              <w:t>4/5</w:t>
            </w:r>
          </w:p>
        </w:tc>
        <w:tc>
          <w:tcPr>
            <w:tcW w:type="dxa" w:w="1560"/>
          </w:tcPr>
          <w:p>
            <w:r/>
            <w:r>
              <w:rPr>
                <w:rFonts w:ascii="Times New Roman" w:hAnsi="Times New Roman"/>
                <w:sz w:val="17"/>
              </w:rPr>
              <w:t>61/114 (54%)</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116 (97.5)</w:t>
            </w:r>
          </w:p>
        </w:tc>
        <w:tc>
          <w:tcPr>
            <w:tcW w:type="dxa" w:w="1560"/>
          </w:tcPr>
          <w:p>
            <w:r/>
            <w:r>
              <w:rPr>
                <w:rFonts w:ascii="Times New Roman" w:hAnsi="Times New Roman"/>
                <w:sz w:val="17"/>
              </w:rPr>
              <w:t>38</w:t>
            </w:r>
          </w:p>
        </w:tc>
        <w:tc>
          <w:tcPr>
            <w:tcW w:type="dxa" w:w="1560"/>
          </w:tcPr>
          <w:p>
            <w:r/>
            <w:r>
              <w:rPr>
                <w:rFonts w:ascii="Times New Roman" w:hAnsi="Times New Roman"/>
                <w:sz w:val="17"/>
              </w:rPr>
              <w:t>78</w:t>
            </w:r>
          </w:p>
        </w:tc>
        <w:tc>
          <w:tcPr>
            <w:tcW w:type="dxa" w:w="1560"/>
          </w:tcPr>
          <w:p>
            <w:r/>
            <w:r>
              <w:rPr>
                <w:rFonts w:ascii="Times New Roman" w:hAnsi="Times New Roman"/>
                <w:sz w:val="17"/>
              </w:rPr>
              <w:t>64/116 (55%)</w:t>
            </w:r>
          </w:p>
        </w:tc>
        <w:tc>
          <w:tcPr>
            <w:tcW w:type="dxa" w:w="1560"/>
          </w:tcPr>
          <w:p>
            <w:r/>
            <w:r>
              <w:rPr>
                <w:rFonts w:ascii="Times New Roman" w:hAnsi="Times New Roman"/>
                <w:sz w:val="17"/>
              </w:rPr>
              <w:t>1/3</w:t>
            </w:r>
          </w:p>
        </w:tc>
      </w:tr>
      <w:tr>
        <w:tc>
          <w:tcPr>
            <w:tcW w:type="dxa" w:w="1560"/>
          </w:tcPr>
          <w:p>
            <w:r/>
            <w:r>
              <w:rPr>
                <w:rFonts w:ascii="Times New Roman" w:hAnsi="Times New Roman"/>
                <w:sz w:val="17"/>
              </w:rPr>
              <w:t>Whirlpool, swirl or spiral appearance reported</w:t>
            </w:r>
          </w:p>
        </w:tc>
        <w:tc>
          <w:tcPr>
            <w:tcW w:type="dxa" w:w="1560"/>
          </w:tcPr>
          <w:p>
            <w:r/>
            <w:r>
              <w:rPr>
                <w:rFonts w:ascii="Times New Roman" w:hAnsi="Times New Roman"/>
                <w:sz w:val="17"/>
              </w:rPr>
              <w:t>58 (48.7)</w:t>
            </w:r>
          </w:p>
        </w:tc>
        <w:tc>
          <w:tcPr>
            <w:tcW w:type="dxa" w:w="1560"/>
          </w:tcPr>
          <w:p>
            <w:r/>
            <w:r>
              <w:rPr>
                <w:rFonts w:ascii="Times New Roman" w:hAnsi="Times New Roman"/>
                <w:sz w:val="17"/>
              </w:rPr>
              <w:t>16</w:t>
            </w:r>
          </w:p>
        </w:tc>
        <w:tc>
          <w:tcPr>
            <w:tcW w:type="dxa" w:w="1560"/>
          </w:tcPr>
          <w:p>
            <w:r/>
            <w:r>
              <w:rPr>
                <w:rFonts w:ascii="Times New Roman" w:hAnsi="Times New Roman"/>
                <w:sz w:val="17"/>
              </w:rPr>
              <w:t>42</w:t>
            </w:r>
          </w:p>
        </w:tc>
        <w:tc>
          <w:tcPr>
            <w:tcW w:type="dxa" w:w="1560"/>
          </w:tcPr>
          <w:p>
            <w:r/>
            <w:r>
              <w:rPr>
                <w:rFonts w:ascii="Times New Roman" w:hAnsi="Times New Roman"/>
                <w:sz w:val="17"/>
              </w:rPr>
              <w:t>58/58 (100%)</w:t>
            </w:r>
          </w:p>
        </w:tc>
        <w:tc>
          <w:tcPr>
            <w:tcW w:type="dxa" w:w="1560"/>
          </w:tcPr>
          <w:p>
            <w:r/>
            <w:r>
              <w:rPr>
                <w:rFonts w:ascii="Times New Roman" w:hAnsi="Times New Roman"/>
                <w:sz w:val="17"/>
              </w:rPr>
              <w:t>7/61 (11%)</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30 (25.2)</w:t>
            </w:r>
          </w:p>
        </w:tc>
        <w:tc>
          <w:tcPr>
            <w:tcW w:type="dxa" w:w="1560"/>
          </w:tcPr>
          <w:p>
            <w:r/>
            <w:r>
              <w:rPr>
                <w:rFonts w:ascii="Times New Roman" w:hAnsi="Times New Roman"/>
                <w:sz w:val="17"/>
              </w:rPr>
              <w:t>11</w:t>
            </w:r>
          </w:p>
        </w:tc>
        <w:tc>
          <w:tcPr>
            <w:tcW w:type="dxa" w:w="1560"/>
          </w:tcPr>
          <w:p>
            <w:r/>
            <w:r>
              <w:rPr>
                <w:rFonts w:ascii="Times New Roman" w:hAnsi="Times New Roman"/>
                <w:sz w:val="17"/>
              </w:rPr>
              <w:t>19</w:t>
            </w:r>
          </w:p>
        </w:tc>
        <w:tc>
          <w:tcPr>
            <w:tcW w:type="dxa" w:w="1560"/>
          </w:tcPr>
          <w:p>
            <w:r/>
            <w:r>
              <w:rPr>
                <w:rFonts w:ascii="Times New Roman" w:hAnsi="Times New Roman"/>
                <w:sz w:val="17"/>
              </w:rPr>
              <w:t>13/30 (43%)</w:t>
            </w:r>
          </w:p>
        </w:tc>
        <w:tc>
          <w:tcPr>
            <w:tcW w:type="dxa" w:w="1560"/>
          </w:tcPr>
          <w:p>
            <w:r/>
            <w:r>
              <w:rPr>
                <w:rFonts w:ascii="Times New Roman" w:hAnsi="Times New Roman"/>
                <w:sz w:val="17"/>
              </w:rPr>
              <w:t>52/89 (58%)</w:t>
            </w:r>
          </w:p>
        </w:tc>
      </w:tr>
      <w:tr>
        <w:tc>
          <w:tcPr>
            <w:tcW w:type="dxa" w:w="1560"/>
          </w:tcPr>
          <w:p>
            <w:r/>
            <w:r>
              <w:rPr>
                <w:rFonts w:ascii="Times New Roman" w:hAnsi="Times New Roman"/>
                <w:sz w:val="17"/>
              </w:rPr>
              <w:t>Booked as abdominal great-vessel study</w:t>
            </w:r>
          </w:p>
        </w:tc>
        <w:tc>
          <w:tcPr>
            <w:tcW w:type="dxa" w:w="1560"/>
          </w:tcPr>
          <w:p>
            <w:r/>
            <w:r>
              <w:rPr>
                <w:rFonts w:ascii="Times New Roman" w:hAnsi="Times New Roman"/>
                <w:sz w:val="17"/>
              </w:rPr>
              <w:t>67 (56.3)</w:t>
            </w:r>
          </w:p>
        </w:tc>
        <w:tc>
          <w:tcPr>
            <w:tcW w:type="dxa" w:w="1560"/>
          </w:tcPr>
          <w:p>
            <w:r/>
            <w:r>
              <w:rPr>
                <w:rFonts w:ascii="Times New Roman" w:hAnsi="Times New Roman"/>
                <w:sz w:val="17"/>
              </w:rPr>
              <w:t>13</w:t>
            </w:r>
          </w:p>
        </w:tc>
        <w:tc>
          <w:tcPr>
            <w:tcW w:type="dxa" w:w="1560"/>
          </w:tcPr>
          <w:p>
            <w:r/>
            <w:r>
              <w:rPr>
                <w:rFonts w:ascii="Times New Roman" w:hAnsi="Times New Roman"/>
                <w:sz w:val="17"/>
              </w:rPr>
              <w:t>54</w:t>
            </w:r>
          </w:p>
        </w:tc>
        <w:tc>
          <w:tcPr>
            <w:tcW w:type="dxa" w:w="1560"/>
          </w:tcPr>
          <w:p>
            <w:r/>
            <w:r>
              <w:rPr>
                <w:rFonts w:ascii="Times New Roman" w:hAnsi="Times New Roman"/>
                <w:sz w:val="17"/>
              </w:rPr>
              <w:t>46/67 (69%)</w:t>
            </w:r>
          </w:p>
        </w:tc>
        <w:tc>
          <w:tcPr>
            <w:tcW w:type="dxa" w:w="1560"/>
          </w:tcPr>
          <w:p>
            <w:r/>
            <w:r>
              <w:rPr>
                <w:rFonts w:ascii="Times New Roman" w:hAnsi="Times New Roman"/>
                <w:sz w:val="17"/>
              </w:rPr>
              <w:t>19/52 (37%)</w:t>
            </w:r>
          </w:p>
        </w:tc>
      </w:tr>
      <w:tr>
        <w:tc>
          <w:tcPr>
            <w:tcW w:type="dxa" w:w="1560"/>
          </w:tcPr>
          <w:p>
            <w:r/>
            <w:r>
              <w:rPr>
                <w:rFonts w:ascii="Times New Roman" w:hAnsi="Times New Roman"/>
                <w:sz w:val="17"/>
              </w:rPr>
              <w:t>Booked as gastrointestinal ultrasound</w:t>
            </w:r>
          </w:p>
        </w:tc>
        <w:tc>
          <w:tcPr>
            <w:tcW w:type="dxa" w:w="1560"/>
          </w:tcPr>
          <w:p>
            <w:r/>
            <w:r>
              <w:rPr>
                <w:rFonts w:ascii="Times New Roman" w:hAnsi="Times New Roman"/>
                <w:sz w:val="17"/>
              </w:rPr>
              <w:t>75 (63.0)</w:t>
            </w:r>
          </w:p>
        </w:tc>
        <w:tc>
          <w:tcPr>
            <w:tcW w:type="dxa" w:w="1560"/>
          </w:tcPr>
          <w:p>
            <w:r/>
            <w:r>
              <w:rPr>
                <w:rFonts w:ascii="Times New Roman" w:hAnsi="Times New Roman"/>
                <w:sz w:val="17"/>
              </w:rPr>
              <w:t>29</w:t>
            </w:r>
          </w:p>
        </w:tc>
        <w:tc>
          <w:tcPr>
            <w:tcW w:type="dxa" w:w="1560"/>
          </w:tcPr>
          <w:p>
            <w:r/>
            <w:r>
              <w:rPr>
                <w:rFonts w:ascii="Times New Roman" w:hAnsi="Times New Roman"/>
                <w:sz w:val="17"/>
              </w:rPr>
              <w:t>46</w:t>
            </w:r>
          </w:p>
        </w:tc>
        <w:tc>
          <w:tcPr>
            <w:tcW w:type="dxa" w:w="1560"/>
          </w:tcPr>
          <w:p>
            <w:r/>
            <w:r>
              <w:rPr>
                <w:rFonts w:ascii="Times New Roman" w:hAnsi="Times New Roman"/>
                <w:sz w:val="17"/>
              </w:rPr>
              <w:t>37/75 (49%)</w:t>
            </w:r>
          </w:p>
        </w:tc>
        <w:tc>
          <w:tcPr>
            <w:tcW w:type="dxa" w:w="1560"/>
          </w:tcPr>
          <w:p>
            <w:r/>
            <w:r>
              <w:rPr>
                <w:rFonts w:ascii="Times New Roman" w:hAnsi="Times New Roman"/>
                <w:sz w:val="17"/>
              </w:rPr>
              <w:t>28/44 (64%)</w:t>
            </w:r>
          </w:p>
        </w:tc>
      </w:tr>
      <w:tr>
        <w:tc>
          <w:tcPr>
            <w:tcW w:type="dxa" w:w="1560"/>
          </w:tcPr>
          <w:p>
            <w:r/>
            <w:r>
              <w:rPr>
                <w:rFonts w:ascii="Times New Roman" w:hAnsi="Times New Roman"/>
                <w:sz w:val="17"/>
              </w:rPr>
              <w:t>Booked as pyloric ultrasound</w:t>
            </w:r>
          </w:p>
        </w:tc>
        <w:tc>
          <w:tcPr>
            <w:tcW w:type="dxa" w:w="1560"/>
          </w:tcPr>
          <w:p>
            <w:r/>
            <w:r>
              <w:rPr>
                <w:rFonts w:ascii="Times New Roman" w:hAnsi="Times New Roman"/>
                <w:sz w:val="17"/>
              </w:rPr>
              <w:t>12 (10.1)</w:t>
            </w:r>
          </w:p>
        </w:tc>
        <w:tc>
          <w:tcPr>
            <w:tcW w:type="dxa" w:w="1560"/>
          </w:tcPr>
          <w:p>
            <w:r/>
            <w:r>
              <w:rPr>
                <w:rFonts w:ascii="Times New Roman" w:hAnsi="Times New Roman"/>
                <w:sz w:val="17"/>
              </w:rPr>
              <w:t>4</w:t>
            </w:r>
          </w:p>
        </w:tc>
        <w:tc>
          <w:tcPr>
            <w:tcW w:type="dxa" w:w="1560"/>
          </w:tcPr>
          <w:p>
            <w:r/>
            <w:r>
              <w:rPr>
                <w:rFonts w:ascii="Times New Roman" w:hAnsi="Times New Roman"/>
                <w:sz w:val="17"/>
              </w:rPr>
              <w:t>8</w:t>
            </w:r>
          </w:p>
        </w:tc>
        <w:tc>
          <w:tcPr>
            <w:tcW w:type="dxa" w:w="1560"/>
          </w:tcPr>
          <w:p>
            <w:r/>
            <w:r>
              <w:rPr>
                <w:rFonts w:ascii="Times New Roman" w:hAnsi="Times New Roman"/>
                <w:sz w:val="17"/>
              </w:rPr>
              <w:t>8/12 (67%)</w:t>
            </w:r>
          </w:p>
        </w:tc>
        <w:tc>
          <w:tcPr>
            <w:tcW w:type="dxa" w:w="1560"/>
          </w:tcPr>
          <w:p>
            <w:r/>
            <w:r>
              <w:rPr>
                <w:rFonts w:ascii="Times New Roman" w:hAnsi="Times New Roman"/>
                <w:sz w:val="17"/>
              </w:rPr>
              <w:t>57/107 (53%)</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w:t>
            </w:r>
          </w:p>
        </w:tc>
        <w:tc>
          <w:tcPr>
            <w:tcW w:type="dxa" w:w="1560"/>
          </w:tcPr>
          <w:p>
            <w:r/>
            <w:r>
              <w:rPr>
                <w:rFonts w:ascii="Times New Roman" w:hAnsi="Times New Roman"/>
                <w:sz w:val="17"/>
              </w:rPr>
              <w:t>9</w:t>
            </w:r>
          </w:p>
        </w:tc>
        <w:tc>
          <w:tcPr>
            <w:tcW w:type="dxa" w:w="1560"/>
          </w:tcPr>
          <w:p>
            <w:r/>
            <w:r>
              <w:rPr>
                <w:rFonts w:ascii="Times New Roman" w:hAnsi="Times New Roman"/>
                <w:sz w:val="17"/>
              </w:rPr>
              <w:t>2/9</w:t>
            </w:r>
          </w:p>
        </w:tc>
        <w:tc>
          <w:tcPr>
            <w:tcW w:type="dxa" w:w="1560"/>
          </w:tcPr>
          <w:p>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Change in detection over time</w:t>
      </w:r>
    </w:p>
    <w:p>
      <w:pPr>
        <w:spacing w:after="160"/>
      </w:pPr>
      <w:r>
        <w:t>Ultrasound detection was 41.0% (16/39) in 2012–2018 and 61.3% (49/80) in 2019–2026, and rose for CT but not the UGI series (Table 4). For ultrasound the change tracked how the examination was booked. Sessions including a great-vessel study rose from 33.3% to 67.5%, and adding this indicator reduced the era effect from +20.2 (95% CI +1.8 to +38.8) to +10.3 (−10.3 to +30.1) percentage points, the indicator carrying an odds ratio of 3.35 (1.51–7.44). Moving the era boundary from 2019 to 2022 left the examination-type odds ratio between 3.07 and 3.85, while the era odds ratio ranged from 2.82 to 1.25 (Online Resource 2). The era-by-booking interaction was not significant, giving no evidence that the effect of examination type itself changed between eras, although these subgroups are small. The change in booking tracked whirlpool reporting but not duodenal assessment. CT showed a comparable change that contrast enhancement explained only in part, and the UGI series showed none (Table 4).</w:t>
      </w:r>
    </w:p>
    <w:p>
      <w:pPr>
        <w:spacing w:after="160"/>
      </w:pPr>
      <w:r>
        <w:rPr>
          <w:b/>
        </w:rPr>
        <w:t>Table 4. Change in report-level detection between eras, and the examination-content variables associated with it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Detection 2012–2018</w:t>
            </w:r>
          </w:p>
        </w:tc>
        <w:tc>
          <w:tcPr>
            <w:tcW w:type="dxa" w:w="1337"/>
          </w:tcPr>
          <w:p>
            <w:r/>
            <w:r>
              <w:rPr>
                <w:rFonts w:ascii="Times New Roman" w:hAnsi="Times New Roman"/>
                <w:b/>
                <w:sz w:val="17"/>
              </w:rPr>
              <w:t>Detection 2019–2026</w:t>
            </w:r>
          </w:p>
        </w:tc>
        <w:tc>
          <w:tcPr>
            <w:tcW w:type="dxa" w:w="1337"/>
          </w:tcPr>
          <w:p>
            <w:r/>
            <w:r>
              <w:rPr>
                <w:rFonts w:ascii="Times New Roman" w:hAnsi="Times New Roman"/>
                <w:b/>
                <w:sz w:val="17"/>
              </w:rPr>
              <w:t>Era odds ratio (95% CI)</w:t>
            </w:r>
          </w:p>
        </w:tc>
        <w:tc>
          <w:tcPr>
            <w:tcW w:type="dxa" w:w="1337"/>
          </w:tcPr>
          <w:p>
            <w:r/>
            <w:r>
              <w:rPr>
                <w:rFonts w:ascii="Times New Roman" w:hAnsi="Times New Roman"/>
                <w:b/>
                <w:sz w:val="17"/>
              </w:rPr>
              <w:t>Era odds ratio after adjustment for examination content</w:t>
            </w:r>
          </w:p>
        </w:tc>
        <w:tc>
          <w:tcPr>
            <w:tcW w:type="dxa" w:w="1337"/>
          </w:tcPr>
          <w:p>
            <w:r/>
            <w:r>
              <w:rPr>
                <w:rFonts w:ascii="Times New Roman" w:hAnsi="Times New Roman"/>
                <w:b/>
                <w:sz w:val="17"/>
              </w:rPr>
              <w:t>Examination-content variable, odds ratio (95% CI)</w:t>
            </w:r>
          </w:p>
        </w:tc>
        <w:tc>
          <w:tcPr>
            <w:tcW w:type="dxa" w:w="1337"/>
          </w:tcPr>
          <w:p>
            <w:r/>
            <w:r>
              <w:rPr>
                <w:rFonts w:ascii="Times New Roman" w:hAnsi="Times New Roman"/>
                <w:b/>
                <w:sz w:val="17"/>
              </w:rPr>
              <w:t>Average marginal effect of later era, percentage points (crude → adjusted)</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158/205 (77.1%)</w:t>
            </w:r>
          </w:p>
        </w:tc>
        <w:tc>
          <w:tcPr>
            <w:tcW w:type="dxa" w:w="1337"/>
          </w:tcPr>
          <w:p>
            <w:r/>
            <w:r>
              <w:rPr>
                <w:rFonts w:ascii="Times New Roman" w:hAnsi="Times New Roman"/>
                <w:sz w:val="17"/>
              </w:rPr>
              <w:t>79/96 (82.3%)</w:t>
            </w:r>
          </w:p>
        </w:tc>
        <w:tc>
          <w:tcPr>
            <w:tcW w:type="dxa" w:w="1337"/>
          </w:tcPr>
          <w:p>
            <w:r/>
            <w:r>
              <w:rPr>
                <w:rFonts w:ascii="Times New Roman" w:hAnsi="Times New Roman"/>
                <w:sz w:val="17"/>
              </w:rPr>
              <w:t>1.38 (0.75–2.56), p=0.304</w:t>
            </w:r>
          </w:p>
        </w:tc>
        <w:tc>
          <w:tcPr>
            <w:tcW w:type="dxa" w:w="1337"/>
          </w:tcPr>
          <w:p>
            <w:r/>
            <w:r>
              <w:rPr>
                <w:rFonts w:ascii="Times New Roman" w:hAnsi="Times New Roman"/>
                <w:sz w:val="17"/>
              </w:rPr>
              <w:t>Not applicable (technique unchanged)</w:t>
            </w:r>
          </w:p>
        </w:tc>
        <w:tc>
          <w:tcPr>
            <w:tcW w:type="dxa" w:w="1337"/>
          </w:tcPr>
          <w:p>
            <w:r/>
            <w:r>
              <w:rPr>
                <w:rFonts w:ascii="Times New Roman" w:hAnsi="Times New Roman"/>
                <w:sz w:val="17"/>
              </w:rPr>
              <w:t>–</w:t>
            </w:r>
          </w:p>
        </w:tc>
        <w:tc>
          <w:tcPr>
            <w:tcW w:type="dxa" w:w="1337"/>
          </w:tcPr>
          <w:p>
            <w:r/>
            <w:r>
              <w:rPr>
                <w:rFonts w:ascii="Times New Roman" w:hAnsi="Times New Roman"/>
                <w:sz w:val="17"/>
              </w:rPr>
              <w:t>+5.2</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101/215 (47.0%)</w:t>
            </w:r>
          </w:p>
        </w:tc>
        <w:tc>
          <w:tcPr>
            <w:tcW w:type="dxa" w:w="1337"/>
          </w:tcPr>
          <w:p>
            <w:r/>
            <w:r>
              <w:rPr>
                <w:rFonts w:ascii="Times New Roman" w:hAnsi="Times New Roman"/>
                <w:sz w:val="17"/>
              </w:rPr>
              <w:t>70/105 (66.7%)</w:t>
            </w:r>
          </w:p>
        </w:tc>
        <w:tc>
          <w:tcPr>
            <w:tcW w:type="dxa" w:w="1337"/>
          </w:tcPr>
          <w:p>
            <w:r/>
            <w:r>
              <w:rPr>
                <w:rFonts w:ascii="Times New Roman" w:hAnsi="Times New Roman"/>
                <w:sz w:val="17"/>
              </w:rPr>
              <w:t>2.26 (1.39–3.67), p=0.001</w:t>
            </w:r>
          </w:p>
        </w:tc>
        <w:tc>
          <w:tcPr>
            <w:tcW w:type="dxa" w:w="1337"/>
          </w:tcPr>
          <w:p>
            <w:r/>
            <w:r>
              <w:rPr>
                <w:rFonts w:ascii="Times New Roman" w:hAnsi="Times New Roman"/>
                <w:sz w:val="17"/>
              </w:rPr>
              <w:t>1.98 (1.20–3.28), p=0.008</w:t>
            </w:r>
          </w:p>
        </w:tc>
        <w:tc>
          <w:tcPr>
            <w:tcW w:type="dxa" w:w="1337"/>
          </w:tcPr>
          <w:p>
            <w:r/>
            <w:r>
              <w:rPr>
                <w:rFonts w:ascii="Times New Roman" w:hAnsi="Times New Roman"/>
                <w:sz w:val="17"/>
              </w:rPr>
              <w:t>Intravenous contrast enhancement 5.53 (2.49–12.27), p&lt;0.001</w:t>
            </w:r>
          </w:p>
        </w:tc>
        <w:tc>
          <w:tcPr>
            <w:tcW w:type="dxa" w:w="1337"/>
          </w:tcPr>
          <w:p>
            <w:r/>
            <w:r>
              <w:rPr>
                <w:rFonts w:ascii="Times New Roman" w:hAnsi="Times New Roman"/>
                <w:sz w:val="17"/>
              </w:rPr>
              <w:t>+19.7 → +15.6</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16/39 (41.0%)</w:t>
            </w:r>
          </w:p>
        </w:tc>
        <w:tc>
          <w:tcPr>
            <w:tcW w:type="dxa" w:w="1337"/>
          </w:tcPr>
          <w:p>
            <w:r/>
            <w:r>
              <w:rPr>
                <w:rFonts w:ascii="Times New Roman" w:hAnsi="Times New Roman"/>
                <w:sz w:val="17"/>
              </w:rPr>
              <w:t>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Session included a great-vessel study 3.35 (1.51–7.44), p=0.003</w:t>
            </w:r>
          </w:p>
        </w:tc>
        <w:tc>
          <w:tcPr>
            <w:tcW w:type="dxa" w:w="1337"/>
          </w:tcPr>
          <w:p>
            <w:r/>
            <w:r>
              <w:rPr>
                <w:rFonts w:ascii="Times New Roman" w:hAnsi="Times New Roman"/>
                <w:sz w:val="17"/>
              </w:rPr>
              <w:t>+20.2 → +10.3</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Selected subgroup and populations not represented</w:t>
      </w:r>
    </w:p>
    <w:p>
      <w:pPr>
        <w:spacing w:after="160"/>
      </w:pPr>
      <w:r>
        <w:t>Fifty-nine children underwent all three modalities. This subgroup, in whom the diagnosis remained uncertain, was more severely affected than the other 351 imaged children (volvulus 96.6% vs 86.6%; neonates 83.1% vs 65.5%). The UGI series was positive in 76.3%, ultrasound in 52.5% and CT in 47.5% (Cochran's Q p=0.001; the UGI series exceeded CT by 28.8 percentage points, 95% CI +13.6 to +44.1, and ultrasound by 23.7, +8.5 to +39.0, while the CT–ultrasound difference was compatible with zero, −5.1, −18.6 to +10.2), and was unchanged within 48 h (Online Resource 2). These comparisons describe reporting within one selected subgroup and are not measures of accuracy. Only 6 of the 62 children with malrotation but no volvulus underwent ultrasound, and none had a positive report; a Firth penalised model supports the direction of this contrast but not its magnitude (Online Resource 2). The cohort therefore says little about the children to whom the ultrasound-first debate applies.</w:t>
      </w:r>
    </w:p>
    <w:p>
      <w:pPr>
        <w:pStyle w:val="Heading1"/>
      </w:pPr>
      <w:r>
        <w:t>Discussion</w:t>
      </w:r>
    </w:p>
    <w:p>
      <w:pPr>
        <w:spacing w:after="160"/>
      </w:pPr>
      <w:r>
        <w:t>Over 13.5 years, routine ultrasound reports for children who proved to have intestinal malrotation rarely recorded the duodenal anatomy on which contemporary ultrasound accuracy depends: D3 or the duodenojejunal junction in three of 119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pPr>
      <w:r>
        <w:t>Malrotation was reported in 54.6% of the surgically confirmed children who underwent ultrasound, compared with 93–97% in the 2025 multicentre series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multicentre series [13], and the duodenojejunal junction, often with enteric fluid, in readers alert to the diagnosis [15–17], whereas ours almost never did. The 2021 systematic review reported better performance where the mesenteric vessels and enteric fluid were used [11].</w:t>
      </w:r>
    </w:p>
    <w:p>
      <w:pPr>
        <w:spacing w:after="160"/>
      </w:pPr>
      <w:r>
        <w:t>The temporal analysis is consistent with this interpretation without establishing it. Detection rose from 41% to 61%, and the change tracked what the examination was: adding the great-vessel indicator halved the era effect on the risk-difference scale, whereas the examination-type effect was stable at every boundary tested. The booking category was not randomised, and a child in whom volvulus is suspected is both more likely to be booked for a vessel study and more likely to have a whirlpool present, so indication and technique cannot be separated here. The adjusted marginal effect also has a wide interval that includes zero, so the analysis bounds the era contribution rather than removing it. The department's account is consistent: no change in equipment, staffing or protocol, and growing awareness from about 2021 attached to the whirlpool sign rather than to duodenal anatomy, so that the improvement also ran towards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being the last preoperative test in 75% of the children who underwent more than one. The modalities were also used in different children for different reasons (Table 1), which no adjustment can undo.</w:t>
      </w:r>
    </w:p>
    <w:p>
      <w:pPr>
        <w:spacing w:after="160"/>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pPr>
      <w:r>
        <w:t>This is not a diagnostic accuracy study: detection among surgically confirmed children who underwent a test does not transfer to children investigated for suspicion [11, 13, 14]. The cohort contains only children who reached an operation, is weighted towards severe neonatal disease, and provides little information on older children with intermittent symptoms, incidental or non-volvulus malrotation, or stable outpatients. The 55 children without an index test were excluded from the denominators, an informative missingness. Restricting the volvulus definition to a documented rotation of 360° or more changes prevalence from 86.7% to 82.6% without altering any conclusion (Online Resource 2).</w:t>
      </w:r>
    </w:p>
    <w:p>
      <w:pPr>
        <w:spacing w:after="160"/>
      </w:pPr>
      <w:r>
        <w:t>Index tests were classified from report text rather than blinded image review, so the study measures reported detection rather than achievable image-based accuracy; a finding seen but not recorded and an inadequate examination reported as normal cannot be distinguished. This bounds the question rather than the answer, since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Comparisons were not adjusted for multiplicity, radiation dose could not be captured, and whether the deficit at this centre generalises is unknown.</w:t>
      </w:r>
    </w:p>
    <w:p>
      <w:pPr>
        <w:pStyle w:val="Heading1"/>
      </w:pPr>
      <w:r>
        <w:t>Conclusion</w:t>
      </w:r>
    </w:p>
    <w:p>
      <w:pPr>
        <w:spacing w:after="160"/>
      </w:pPr>
      <w:r>
        <w:t>In routine reports for children with surgically confirmed intestinal malrotation, the duodenal landmarks underpinning contemporary ultrasound accuracy were documented in under 3% of examinations, and the diagnosis was reported almost exclusively when a whirlpool sign was recorded, occurring in about half of the children in whom operation confirmed volvulus. Ultrasound here served in practice as a test for volvulus rather than for malrotation. These rates establish no specificity, predictive value or ranking, and are no argument against ultrasound-first pathways. They indicate that a department's own technique and reporting content are what an audit can measure, and the first thing to examine before assuming that published performance is achievable locally.</w:t>
      </w:r>
    </w:p>
    <w:p>
      <w:pPr>
        <w:pStyle w:val="Heading1"/>
      </w:pPr>
      <w:r>
        <w:t>Abbreviations</w:t>
      </w:r>
    </w:p>
    <w:p>
      <w:pPr>
        <w:spacing w:after="160"/>
      </w:pPr>
      <w:r>
        <w:t>CI: Confidence interval; CT: Computed tomography;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97.7%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Applegate KE, Anderson JM, Klatte EC (2006) Intestinal malrotation in children: a problem-solving approach to the upper gastrointestinal series. Radiographics 26:1485–1500 https://doi.org/10.1148/rg.265055167</w:t>
      </w:r>
    </w:p>
    <w:p>
      <w:pPr>
        <w:spacing w:after="60"/>
      </w:pPr>
      <w:r>
        <w:rPr>
          <w:sz w:val="20"/>
        </w:rPr>
        <w:t>8. Smitthimedhin A, Suarez A, Webb RL, Otero HJ (2018) Mimics of malrotation on pediatric upper gastrointestinal series: a pictorial review. Abdom Radiol (NY) 43:2246–2254 https://doi.org/10.1007/s00261-018-1537-9</w:t>
      </w:r>
    </w:p>
    <w:p>
      <w:pPr>
        <w:spacing w:after="60"/>
      </w:pPr>
      <w:r>
        <w:rPr>
          <w:sz w:val="20"/>
        </w:rPr>
        <w:t>9. Taylor GA (2011) CT appearance of the duodenum and mesenteric vessels in children with normal and abnormal bowel rotation. Pediatr Radiol 41:1378–1383 https://doi.org/10.1007/s00247-011-2118-z</w:t>
      </w:r>
    </w:p>
    <w:p>
      <w:pPr>
        <w:spacing w:after="60"/>
      </w:pPr>
      <w:r>
        <w:rPr>
          <w:sz w:val="20"/>
        </w:rPr>
        <w:t>10. Sodhi KS, Bhatia A, Saxena AK, et al (2014) Anticlockwise swirl of mesenteric vessels: a normal CT appearance, retrospective analysis of 200 pediatric patients. Eur J Radiol 83:710–714 https://doi.org/10.1016/j.ejrad.2013.12.026</w:t>
      </w:r>
    </w:p>
    <w:p>
      <w:pPr>
        <w:spacing w:after="60"/>
      </w:pPr>
      <w:r>
        <w:rPr>
          <w:sz w:val="20"/>
        </w:rPr>
        <w:t>11.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12. Nguyen HN, Navarro OM, Bloom DA, et al (2022) Ultrasound for midgut malrotation and midgut volvulus: AJR expert panel narrative review. AJR Am J Roentgenol 218:931–939 https://doi.org/10.2214/AJR.21.27242</w:t>
      </w:r>
    </w:p>
    <w:p>
      <w:pPr>
        <w:spacing w:after="60"/>
      </w:pPr>
      <w:r>
        <w:rPr>
          <w:sz w:val="20"/>
        </w:rPr>
        <w:t>13.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14.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15. McCurdie FK, Meshaka R, Leung G, et al (2024) Ultrasound for infantile midgut malrotation: techniques, pearls, and pitfalls. Pediatr Radiol 54:2099–2111 https://doi.org/10.1007/s00247-024-06067-4</w:t>
      </w:r>
    </w:p>
    <w:p>
      <w:pPr>
        <w:spacing w:after="60"/>
      </w:pPr>
      <w:r>
        <w:rPr>
          <w:sz w:val="20"/>
        </w:rPr>
        <w:t>16.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17.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18. Karmazyn B, Cohen MD (2015) Based on the position of the third portion of the duodenum at sonography, it is not possible to confidently diagnose malrotation. Pediatr Radiol 45:138–139 https://doi.org/10.1007/s00247-014-3068-z</w:t>
      </w:r>
    </w:p>
    <w:p>
      <w:pPr>
        <w:spacing w:after="60"/>
      </w:pPr>
      <w:r>
        <w:rPr>
          <w:sz w:val="20"/>
        </w:rPr>
        <w:t>19.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20. Shimanuki Y, Aihara T, Takano H, et al (1996) Clockwise whirlpool sign at color Doppler US: an objective and definite sign of midgut volvulus. Radiology 199:261–264 https://doi.org/10.1148/radiology.199.1.8633156</w:t>
      </w:r>
    </w:p>
    <w:p>
      <w:pPr>
        <w:spacing w:after="60"/>
      </w:pPr>
      <w:r>
        <w:rPr>
          <w:sz w:val="20"/>
        </w:rPr>
        <w:t>21. López-Úbeda P, Martín-Noguerol T, Juluru K, Luna A (2022) Natural language processing in radiology: update on clinical applications. J Am Coll Radiol 19:1271–1285 https://doi.org/10.1016/j.jacr.2022.06.016</w:t>
      </w:r>
    </w:p>
    <w:p>
      <w:pPr>
        <w:spacing w:after="60"/>
      </w:pPr>
      <w:r>
        <w:rPr>
          <w:sz w:val="20"/>
        </w:rPr>
        <w:t>22. Zeger SL, Liang KY (1986) Longitudinal data analysis for discrete and continuous outcomes. Biometrics 42:121–130 https://doi.org/10.2307/2531248</w:t>
      </w:r>
    </w:p>
    <w:p>
      <w:pPr>
        <w:spacing w:after="60"/>
      </w:pPr>
      <w:r>
        <w:rPr>
          <w:sz w:val="20"/>
        </w:rPr>
        <w:t>23. Firth D (1993) Bias reduction of maximum likelihood estimates. Biometrika 80:27–38 https://doi.org/10.1093/biomet/80.1.27</w:t>
      </w:r>
    </w:p>
    <w:p>
      <w:pPr>
        <w:spacing w:after="60"/>
      </w:pPr>
      <w:r>
        <w:rPr>
          <w:sz w:val="20"/>
        </w:rPr>
        <w:t>24. Heinze G, Schemper M (2002) A solution to the problem of separation in logistic regression. Stat Med 21:2409–2419 https://doi.org/10.1002/sim.1047</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7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