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Declarations</w:t>
      </w:r>
    </w:p>
    <w:p>
      <w:pPr>
        <w:spacing w:after="160"/>
      </w:pPr>
      <w:r>
        <w:rPr>
          <w:b/>
        </w:rPr>
        <w:t>Ethics approval and consent to participate:</w:t>
      </w:r>
      <w:r>
        <w:t xml:space="preserve"> This retrospective study was approved by the institutional review board (the approval date and reference number are given on the title page). The requirement for informed consent was waived because of the retrospective, de-identified design. All procedures were in accordance with the 1964 Declaration of Helsinki and its later amendments.</w:t>
      </w:r>
    </w:p>
    <w:p>
      <w:pPr>
        <w:spacing w:after="160"/>
      </w:pPr>
      <w:r>
        <w:rPr>
          <w:b/>
        </w:rPr>
        <w:t>Consent for publication:</w:t>
      </w:r>
      <w:r>
        <w:t xml:space="preserve"> Not applicable. This manuscript does not contain any individual person's data, images, or other identifiable material.</w:t>
      </w:r>
    </w:p>
    <w:p>
      <w:pPr>
        <w:spacing w:after="160"/>
      </w:pPr>
      <w:r>
        <w:rPr>
          <w:b/>
        </w:rPr>
        <w:t>Funding:</w:t>
      </w:r>
      <w:r>
        <w:t xml:space="preserve"> This research did not receive any specific grant from funding agencies in the public, commercial, or not-for-profit sectors.</w:t>
      </w:r>
    </w:p>
    <w:p>
      <w:pPr>
        <w:spacing w:after="160"/>
      </w:pPr>
      <w:r>
        <w:rPr>
          <w:b/>
        </w:rPr>
        <w:t>Data availability:</w:t>
      </w:r>
      <w:r>
        <w:t xml:space="preserve"> The de-identified analysis dataset contains pseudonymized research identifiers rather than direct identifiers. It is nonetheless not publicly available because of institutional and ethical restrictions on sharing patient-level clinical data and the potential for re-identification within this small, single-center disease cohort. The complete text-classification rule set, a runnable reference implementation of it, and the report-content audit patterns are provided in Supplement 1. The scripts implementing every model, table and figure are available from the corresponding author on request. De-identified data may be made available by the corresponding author on reasonable request and with the permission of the institutional review board.</w:t>
      </w:r>
    </w:p>
    <w:p>
      <w:pPr>
        <w:spacing w:after="160"/>
      </w:pPr>
      <w:r>
        <w:rPr>
          <w:b/>
        </w:rPr>
        <w:t>Declaration of generative AI and AI-assisted technologies in the manuscript preparation process:</w:t>
      </w:r>
      <w:r>
        <w:t xml:space="preserve"> During the preparation of this work the authors used Claude (Anthropic) to assist with drafting and language editing of the manuscript and with writing and checking the analysis code. After using this tool, the authors reviewed and edited the content as needed and take full responsibility for the content of the published article. No figure was created or altered with a generative AI tool; the figures were produced by analysis code from the study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2026-10-15T15:37:51Z</dcterms:created>
  <dcterms:modified xsi:type="dcterms:W3CDTF">2026-10-15T15:37:51Z</dcterms:modified>
  <cp:category/>
  <cp:contentStatus/>
  <dc:identifier/>
  <dc:language/>
  <cp:version/>
</cp:coreProperties>
</file>