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shows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remove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In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most often documented finding and the finding described in almost all positive reports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S10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S13.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and in S2.7 to S2.9. The paper's claims should be read accordingly: the content rates and the era analysis are descriptive and hypothesis-generating, not confirmatory tests of pre-registered hypotheses.</w:t>
      </w:r>
    </w:p>
    <w:p>
      <w:pPr>
        <w:pStyle w:val="Heading1"/>
      </w:pPr>
      <w:r>
        <w:t>S2.7 Effect sizes and the definition of a positive report</w:t>
      </w:r>
    </w:p>
    <w:p>
      <w:pPr>
        <w:spacing w:after="160"/>
      </w:pPr>
      <w:r>
        <w:t>Table S4 is repeated in Tables S14 and S15 with the primary definition of a positive report and with three others: a conclusion that names malrotation (Table 2, last column), possible-tier conclusions counted negative, and the label returned by the published conclusion-only classifier (Supplement_1_classifier.py), which agrees with the final label in 716 of 723 index examinations. Every model has the specification of Table S4: GEE, exchangeable correlation, era and three age categories. Table S15 gives detection standardized to the 398 children who underwent at least one index test, that is, the detection each modality would show if every child had undergone it, with the observed distribution of era and age. Its intervals are percentile intervals from 2,000 resamples of children (seed 20261010), the model being refitted in each. Because detection is common, odds ratios exaggerate the absolute differences, and the standardized differences are the measure to read.</w:t>
      </w:r>
    </w:p>
    <w:p>
      <w:pPr>
        <w:spacing w:after="160"/>
      </w:pPr>
      <w:r>
        <w:rPr>
          <w:b/>
        </w:rPr>
        <w:t>Table S14. Between-modality comparison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CT, adjusted OR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0.96 (0.64–1.45)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152/313 (48.6)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0.26 (0.18–0.36)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(0.70–1.59)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147/293 (50.2)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103/313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30/117 (25.6)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0.45 (0.33–0.63)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(0.18–0.45)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0.62 (0.38–1.01)</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161/313 (51.4)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0.29 (0.20–0.40)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0.28 (0.17–0.44)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0.97 (0.64–1.46)</w:t>
            </w:r>
          </w:p>
        </w:tc>
      </w:tr>
    </w:tbl>
    <w:p>
      <w:pPr>
        <w:spacing w:after="160"/>
      </w:pPr>
    </w:p>
    <w:p>
      <w:pPr>
        <w:spacing w:after="160"/>
      </w:pPr>
      <w:r>
        <w:rPr>
          <w:b/>
        </w:rPr>
        <w:t>Table S15. Standardized detection and differences between modalities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CT, percentage points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79.3 (74.6–83.5)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(48.2–59.3)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(44.3–61.8)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−25.5 (−32.2 to −18.8)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−26.4 (−35.9 to −16.8)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 (−10.5 to +8.7)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78.4 (73.6–82.9)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49.5 (43.9–54.8)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50.7 (41.8–60.3)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−28.9 (−35.8 to −22.2)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−27.7 (−37.4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(−8.2 to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51.5 (45.8–57.0)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34.3 (29.1–39.9)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 (18.5–32.7)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−17.1 (−24.0 to −9.9)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−25.9 (−34.1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 (−16.9 to −0.5)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78.5 (73.8–83.1)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52.4 (47.1–57.9)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51.7 (42.6–60.9)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−26.0 (−32.4 to −19.1)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−26.8 (−36.8 to −17.4)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 (−10.7 to +8.8)</w:t>
            </w:r>
          </w:p>
        </w:tc>
      </w:tr>
    </w:tbl>
    <w:p>
      <w:pPr>
        <w:spacing w:after="160"/>
      </w:pPr>
    </w:p>
    <w:p>
      <w:pPr>
        <w:spacing w:after="160"/>
      </w:pPr>
      <w:r>
        <w:t>Adjusted for era and age, detection under the primary definition was 25.5 percentage points lower for CT than for the UGI series (95% CI −32.2 to −18.8) and 26.4 lower for ultrasound (−35.9 to −16.8); CT and ultrasound did not differ (−0.9, −10.5 to +8.7). The difference from the UGI series was present under all four definitions. The relation between CT and ultrasound was not. When possible-tier conclusions were counted negative, ultrasound was 8.7 percentage points lower than CT (−16.9 to −0.5; adjusted odds ratio 0.62, 0.38–1.01), whereas under the primary definition and the other two the odds ratios were 0.96, 1.05 and 0.97. Tentative wording was more frequent among positive ultrasound reports (53.1%) than among positive CT reports (37.6%) or UGI reports (36.1%; Table 2), which is why the comparison of CT with ultrasound depends on how that wording is counted. These estimates describe reporting among children who underwent each test and are not estimates of accuracy; the models adjust for neither the indication nor the position of the test in the pathway.</w:t>
      </w:r>
    </w:p>
    <w:p>
      <w:pPr>
        <w:pStyle w:val="Heading1"/>
      </w:pPr>
      <w:r>
        <w:t>S2.8 Timing of the index examination and the choice of index examination</w:t>
      </w:r>
    </w:p>
    <w:p>
      <w:pPr>
        <w:spacing w:after="160"/>
      </w:pPr>
      <w:r>
        <w:t>Operative times are recorded as dates only, so the intervals in Table S16 are calendar days. The index examination was a median of 2 days before operation for the UGI series and CT and 1 day for ultrasound; 4.1%, 2.9% and 4.3% were more than 7 days before. Detection within 2 calendar days of operation (186, 196 and 89 examinations) was 79.6%, 56.6% and 57.3%, and the adjusted odds ratios were close to those of Table S4 (CT 0.33, 95% CI 0.21–0.51; ultrasound 0.28, 0.16–0.48; ultrasound against CT 0.87, 0.55–1.38). Only 28 child-modality combinations had more than one preoperative episode (UGI series 6, CT 11, ultrasound 11), so the choice of index examination can change at most these. Labeled by the conclusion-only classifier, detection with the closest episode was 228, 161 and 63; with the earliest 225, 158 and 60; and when a child counted as detected if any preoperative episode was positive, 228, 161 and 64. The final adjudicated label exists only for the closest episode, so these three definitions are compared with one another under the classifier and not with the final label.</w:t>
      </w:r>
    </w:p>
    <w:p>
      <w:pPr>
        <w:spacing w:after="160"/>
      </w:pPr>
      <w:r>
        <w:rPr>
          <w:b/>
        </w:rPr>
        <w:t>Table S16. Interval from the index examination to operation, choice of index examination, and detection within 2 days of operation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Index examinations,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Calendar days from index examination to operation, median (IQR)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Same day,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 (16.4)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(19.5)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(27.4)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day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(29.4)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(28.2)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 (50.2)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170 (54.3)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(40.2)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More than 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(2.9)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closest episode (primary),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closest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earliest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225/293 (76.8)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158/313 (50.5)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60/117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any preoperative episode positive,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with more than one preoperative episode,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examinations within 2 days of operation,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148/186 (79.6)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111/196 (56.6)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51/89 (57.3)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Adjusted OR vs UGI series, examinations within 2 days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(0.16–0.48)</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Adjusted OR vs CT, examinations within 2 days (95% CI)</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0.87 (0.55–1.38)</w:t>
            </w:r>
          </w:p>
        </w:tc>
      </w:tr>
    </w:tbl>
    <w:p>
      <w:pPr>
        <w:spacing w:after="160"/>
      </w:pPr>
    </w:p>
    <w:p>
      <w:pPr>
        <w:pStyle w:val="Heading1"/>
      </w:pPr>
      <w:r>
        <w:t>S2.9 Ultrasound content by booking category</w:t>
      </w:r>
    </w:p>
    <w:p>
      <w:pPr>
        <w:spacing w:after="160"/>
      </w:pPr>
      <w:r>
        <w:t>The booking category is the only indicator of the purpose of the examination, because the indication on the request was not retrievable. Table S17 gives the documentation of four elements, and the proportion of positive reports, by booking category and in two further denominators: examinations booked as gastrointestinal or great-vessel studies, and children aged 28 days or younger. The three examinations that documented D3 or the duodenojejunal junction were all among the 112 booked as gastrointestinal or great-vessel studies (2.7%, 95% CI 0.9–7.6). The five booked only as pyloric studies documented none of the elements, so excluding them does not change the finding. Among the 90 children aged 28 days or younger, in whom an examination directed at malrotation is most likely, D3 or the junction was documented in 2 (2.2%, 0.6–7.7). Booking categories overlap (Table 3), so the first three rows of Table S17 are not exclusive.</w:t>
      </w:r>
    </w:p>
    <w:p>
      <w:pPr>
        <w:spacing w:after="160"/>
      </w:pPr>
      <w:r>
        <w:rPr>
          <w:b/>
        </w:rPr>
        <w:t>Table S17. Ultrasound content documentation by booking category and in alternative denominators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Denominator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D3 or duodenojejunal junction,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Artery–vein relationship,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Enteric fluid,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report, n (%;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 ultrasound examinations (primary denominator)</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 0.5–6.0)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 41.5–59.3)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 45.7–63.4)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(1.4; 0.2–7.4)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(45.2; 34.3–56.6)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(50.7; 39.5–61.8)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0.0–5.4)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(64.2; 52.2–74.6)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 (68.7; 56.8–78.5)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or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(1.8; 0.5–6.3)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(52.7; 43.5–61.7)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(57.1; 47.9–65.9)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only</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Performed at the bedside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Child aged 28 days or younger</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 (1.1; 0.2–6.0)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 (53.3; 43.1–63.3)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50 (55.6; 45.3–65.4)</w:t>
            </w:r>
          </w:p>
        </w:tc>
      </w:tr>
    </w:tbl>
    <w:p>
      <w:pPr>
        <w:spacing w:after="160"/>
      </w:pPr>
    </w:p>
    <w:p>
      <w:pPr>
        <w:spacing w:after="160"/>
      </w:pPr>
      <w:r>
        <w:t>These four analyses were decided after the principal analyses had been run and the results were inspected; each was run once and every result is shown. They leave the principal findings unchanged: D3 or the duodenojejunal junction was documented in between 2.2% and 3.0% of ultrasound examinations in the whole series, in each of the two main booking categories and in neonates, and detection by CT and ultrasound was lower than that by the UGI series by 17.1 to 28.9 percentage points under every definition of a positive report. They do not address the selection of the cohort, the part that imaging plays in the decision to operate, or the missing indication, none of which can be removed by any analysis of these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2026-10-15T15:37:51Z</dcterms:created>
  <dcterms:modified xsi:type="dcterms:W3CDTF">2026-10-15T15:37:51Z</dcterms:modified>
  <cp:category/>
  <cp:contentStatus/>
  <dc:identifier/>
  <dc:language/>
  <cp:version/>
</cp:coreProperties>
</file>