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 report-level audit of 740 preoperative examinations in 465 surgically confirmed children"</w:t>
      </w:r>
    </w:p>
    <w:p>
      <w:pPr>
        <w:spacing w:after="160"/>
      </w:pPr>
      <w:r>
        <w:t>Sections A–F specify the classification rules. Section J reports a reference implementation of those rules, provided as a runnable script, and its agreement with the final adjudicated labels; the rules below are therefore an executable specification rather than a prose summary.</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xml:space="preserve"> — no qualifier (e.g. 中肠旋转不良。 "midgut malrotation.").</w:t>
      </w:r>
    </w:p>
    <w:p>
      <w:pPr>
        <w:spacing w:after="160"/>
      </w:pPr>
      <w:r>
        <w:rPr>
          <w:b/>
        </w:rPr>
        <w:t>Probable</w:t>
      </w:r>
      <w:r>
        <w:t xml:space="preserve"> — 多考虑, 首先考虑, 考虑, 倾向, 符合…表现 ("most likely", "first consideration", "consistent with").</w:t>
      </w:r>
    </w:p>
    <w:p>
      <w:pPr>
        <w:spacing w:after="160"/>
      </w:pPr>
      <w:r>
        <w:rPr>
          <w:b/>
        </w:rPr>
        <w:t>Possible</w:t>
      </w:r>
      <w:r>
        <w:t xml:space="preserve"> —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and is the single most consequential interpretive decision in the algorithm; the sensitivity analysis in Table 2 exists because of it.</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 for example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the errors we found</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(e.g. 中上腹异常光团回声，内呈强弱相间的漩涡状回声 — "abnormal mass-like echo in the upper abdomen with alternating whirled echogenicity" — without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criticised and re-applied rather than taken on trust.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 that is, the algorithmic labels after blinded surgeon adjudication — the reference implementation agreed on 723 of 740 (97.7%): 98.0% for the UGI series, 98.1% for CT and 95.8% for ultrasound. Sixteen of the seventeen disagreements were reference-implementation under-calls and one was an over-call.</w:t>
      </w:r>
    </w:p>
    <w:p>
      <w:pPr>
        <w:spacing w:after="160"/>
      </w:pPr>
      <w:r>
        <w:t>This asymmetry is the point rather than an artefact. The residual under-calls are dominated by the failure modes listed in Section G: the diagnosis stated in the findings section but not carried into the conclusion; a conclusion that consists only of a cross-reference to another report; and a diagnostic sign described morphologically without the diagnosis being named. Because these are precisely the reports the adjudication corrected upward, the direction of error confirms that the detection rates reported in the manuscript are conservative — a rule set of this kind under-detects rather than over-detects.</w:t>
      </w:r>
    </w:p>
    <w:p>
      <w:pPr>
        <w:spacing w:after="160"/>
      </w:pPr>
      <w:r>
        <w:t>Two limitations of this exercise should be stated.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H. Report-content audit patterns</w:t>
      </w:r>
    </w:p>
    <w:p>
      <w:pPr>
        <w:spacing w:after="160"/>
      </w:pPr>
      <w:r>
        <w:t>Content coding was applied to the concatenated findings and conclusion text of each index report. Patterns are given as regular expressions over the source text; a report was coded positive for an element if the pattern matched anywhere in that text.</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 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十二指肠水平段|水平段|十二指肠第三段|第三段|十二指肠空肠曲|屈氏韧带|Treitz|十二指肠悬韧带</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肠系膜上动脉|肠系膜上静脉|SMA|SMV|系膜血管</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(动静脉|静脉.{0,6}动脉|动脉.{0,6}静脉).{0,12}(换位|反位|倒置|异常关系|关系异常|左侧|右侧)|静脉位于.{0,6}左|动脉.{0,4}右侧</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饮水|口服.{0,4}(水|液)|注水|胃内注|温开水|生理盐水.{0,6}(灌|注)|水充盈</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气体干扰|肠气干扰|气体较多|积气.{0,10}(干扰|遮挡)|显示欠清|显示不清|声窗</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回盲部</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十二指肠空肠曲|屈氏|Treitz|十二指肠.{0,6}空肠</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Two properties of this audit should be kept in mind. First, it records what was written, and is a lower bound on what was performed. Second, the whirlpool sign appears in the main manuscript both as an adjudicated study variable (59 of 119 reports) and as a text-pattern variable (57 of 119); the small difference reflects two reports in which the adjudicator recognised a whirlpool described in words the pattern did not capture, and both figures are reported for transparency.</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