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5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an audit of 740 preoperative index examinations in 410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were obtained under favourable conditions, whereas clinical decisions rest on the routine report issued during unselected care. To our knowledge, no study has examined at scale what such reports contain.</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7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61% across the study period, and the change tracked how the examination was booked. Adjusting for a shift towards sessions that included an abdominal great-vessel study reduced the era effect from +20.2 to +10.3 percentage points, an interval that includes zero, while the booking indicator carried an odds ratio of 3.35. Booking category was not randomised and indication cannot be separated from technique in these data, so the analysis bounds the era contribution rather than removing it. The department's account is consistent: no change of equipment, staffing or protocol over the period, and growing awareness from about 2021 attached to the whirlpool sign rather than to duodenal anatomy, so that detection rose while duodenal documentation did not. The gap between published and delivered ultrasound performance therefore lies in technique and reporting, which an audit can measure.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Our recommendation is that a department audit its own reports before assuming that the published figures apply locally, and that a structured malrotation ultrasound report offers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wherever routine reports are stored electronically.</w:t>
      </w:r>
    </w:p>
    <w:p>
      <w:pPr>
        <w:spacing w:after="160"/>
      </w:pPr>
      <w:r>
        <w:t>An earlier version of this work, framed as a comparison of diagnostic performance between the three modalities, was reviewed elsewhere and not accepted. The reviewers' central objection was that a case-only cohort with three different, indication-selected denominators cannot support a comparative accuracy claim. We accept that objection. The present manuscript is a different study rather than a revision of that one: the research question, the primary analyses and the conclusions have been rebuilt around what the reports document. We would be glad to supply the earlier reviews and our point-by-point response if that would be useful.</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