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2,959 (Introduction through Take-Home Points; excluding abstract, references, tables and figure legends); Tables: 4; Figures: 3; Supplemental material: Supplements 1–3</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 and whether the diagnosis was reported.</w:t>
      </w:r>
    </w:p>
    <w:p>
      <w:pPr>
        <w:spacing w:after="160" w:line="480" w:lineRule="auto"/>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(ultrasound by two independent readers). Because the cohort was surgically confirmed, the outcome is report-level detection among children who underwent the test;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in all 59 recording a whirlpool, itself a positivity criterion, and in 5 of 58 without one. A whirlpool was recorded in 59 of 112 children with operatively confirmed volvulus. Counting only conclusions naming malrotation, ultrasound detection was 53.8%.</w:t>
      </w:r>
    </w:p>
    <w:p>
      <w:pPr>
        <w:spacing w:after="160" w:line="480" w:lineRule="auto"/>
      </w:pPr>
      <w:r>
        <w:rPr>
          <w:b/>
        </w:rPr>
        <w:t>Discussion:</w:t>
      </w:r>
      <w:r>
        <w:t xml:space="preserve"> Positive routine ultrasound reports rested almost entirely on the whirlpool sign, and the duodenal landmarks to which published performance is attributed were rarely documented. Whether documenting them would close the gap cannot be tested from reports, but their absence can be audited.</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line="480" w:lineRule="auto"/>
      </w:pPr>
      <w:r>
        <w:t>The 2025 multicenter series measured performance from the original clinical reports, after excluding non-diagnostic and equivocal examinations [13]. Whether routine reports from a general pediatric ultrasound service document the elements to which that performance is attributed, and how this relates to whether the diagnosis is reported, has not to our knowledge been examined at scale.</w:t>
      </w:r>
    </w:p>
    <w:p>
      <w:pPr>
        <w:spacing w:after="160" w:line="480" w:lineRule="auto"/>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The whirlpool sign is a sign of volvulus rather than of malrotation [20].</w:t>
      </w:r>
    </w:p>
    <w:p>
      <w:pPr>
        <w:pStyle w:val="Heading2"/>
      </w:pPr>
      <w:r>
        <w:t>Participants, reference standard and index tests</w:t>
      </w:r>
    </w:p>
    <w:p>
      <w:pPr>
        <w:spacing w:after="160" w:line="480" w:lineRule="auto"/>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Supplement 1). Of 559 operative records in 499 children, 503 records in 465 children met this criterion. All operative records were re-read for 34 children whose anchor operation was not named as a malrotation procedure or followed earlier malrotation surgery, and 15 were excluded: 6 in whom that operation did not confirm malrotation and 9 reoperations after earlier malrotation surgery.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on each request was not retrievable, so confounding by indication is displayed through the characteristics of each modality group (Table 1) rather than adjusted for.</w:t>
      </w:r>
    </w:p>
    <w:p>
      <w:pPr>
        <w:spacing w:after="160" w:line="480" w:lineRule="auto"/>
      </w:pPr>
      <w:r>
        <w:t>Examinations were reported during routine care by radiologists unaware of the operative findings but not blinded to clinical history or previous imaging, within the general pediatric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line="480" w:lineRule="auto"/>
      </w:pPr>
      <w:r>
        <w:t>Each ultrasound index unit was coded by two readers, an ultrasound physician and a pediatric surgeon,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[21] (rules, label distribution and worked misclassification examples in Supplement 1). A pediatric surgeon blinded to the operative findings adjudicated 32 reports: agreement was 92% (Cohen kappa 0.83) in a stratified random sample of 24, and a targeted review of 8 suspected discordances found 5 further under-calls, excluded from the agreement statistics. A two-directional screen of every index unit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All analysis variables were complete. Between-modality comparison used a generalized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five children without volvulus; the estimable UGI-versus-CT interaction and a Firth penalized estimate of the separated contrast are given in Supplement 2 [23, 24]. In the subgroup that underwent all three modalities, detection was compared using Cochran's Q,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Attenuation was not interpreted as mediation. P values were not adjusted for multiplicity, and Supplement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UGI series was the last preoperative test in 75.0% of those who received it against 19.2% for CT, and detection was higher in that position (80.0% vs 70.0% for the UGI series), a feature of the pathway rather than of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These indication-selected, overlapping denominators are not a ranking. CT and ultrasound had lower odds of a positive report than the UGI series (adjusted odds ratio 0.29 and 0.27), and the same model showed higher detection above 1 year of age (3.52, 1.82–6.80) and in the later era (1.79, 1.18–2.71); these coefficients absorb indication, pathway position and examination content (Supplement 2). Reclassifying possible-tier conclusions as negative reduced detection to 50.5%, 32.9% and 27.4%; counting only conclusions that named malrotation gave 77.8%, 48.6% and 53.8% (Table 2).</w:t>
      </w:r>
    </w:p>
    <w:p>
      <w:pPr>
        <w:pStyle w:val="Heading2"/>
      </w:pPr>
      <w:r>
        <w:t>Documented content of ultrasound examinations</w:t>
      </w:r>
    </w:p>
    <w:p>
      <w:pPr>
        <w:spacing w:after="160" w:line="480" w:lineRule="auto"/>
      </w:pPr>
      <w:r>
        <w:t>Of the 117 ultrasound index examinations, three (2.6%; 95% CI 0.9–7.3) documented D3 or the duodenojejunal junction and seven (6.0%) mentioned the duodenum (Table 3, Figure 3). Three (2.6%) stated the mesenteric artery–vein relationship, and one stated that the vessels were inverted, although inversion was one of the two positivity criteria. Enteric fluid was recorded twice and graded compression once; a whirlpool was reported in 59 examinations (50.4%) and bowel gas limited 36 (30.8%). Reader agreement was 1,423 of 1,428 item codes (kappa 0.80–1.00; Supplement 1).</w:t>
      </w:r>
    </w:p>
    <w:p>
      <w:pPr>
        <w:spacing w:after="160" w:line="480" w:lineRule="auto"/>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line="480" w:lineRule="auto"/>
      </w:pPr>
      <w:r>
        <w:t>The diagnosis was named in all 59 examinations recording a whirlpool and in 5 of the 58 without one (8.6%, 95% CI 3.7–18.6). This contrast is partly definitional, as a whirlpool is itself a positivity criterion, although all 59 conclusions also named malrotation explicitly. A whirlpool was recorded in only 59 of the 112 children (52.7%) in whom operation confirmed midgut volvulus. As 112 of the 117 children who underwent ultrasound had volvulus, ultrasound in malrotation without volvulus cannot be assessed here.</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and UGI detection did not (Table 4). Sessions including a great-vessel study rose from 34.2% to 68.4%, and adding this booking indicator reduced the ultrasound difference to +8.4 (−10.6 to +29.2) percentage points; its odds ratio of 3.51 (1.56–7.87) lay between 3.21 and 4.04 at every era boundary from 2019 to 2022 (Supplement 2). Whirlpool reporting rose from 39.5% to 55.7%, whereas D3 or the duodenojejunal junction was documented in one and two examinations.</w:t>
      </w:r>
    </w:p>
    <w:p>
      <w:pPr>
        <w:pStyle w:val="Heading2"/>
      </w:pPr>
      <w:r>
        <w:t>Selected subgroup and populations not represented</w:t>
      </w:r>
    </w:p>
    <w:p>
      <w:pPr>
        <w:spacing w:after="160" w:line="480" w:lineRule="auto"/>
      </w:pPr>
      <w:r>
        <w:t>Fifty-nine children underwent all three modalities. This subgroup, in whom the diagnosis remained uncertain, was more severely affected than the other 339 imaged children (volvulus 96.6% vs 87.9%; neonates 83.1% vs 67.3%). The UGI series was positive in 76.3%, ultrasound in 52.5% and CT in 45.8% (Cochran's Q p&lt;0.001; UGI series minus CT +30.5 percentage points, 95% CI +13.6 to +47.5; CT minus ultrasound −6.8, −20.3 to +8.5), unchanged within 48 h (Supplement 2). These comparisons describe reporting within one selected subgroup and are not measures of accuracy.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13.5 years, routine ultrasound reports for children who proved to have intestinal malrotation rarely recorded the duodenal anatomy to which contemporary ultrasound accuracy is attributed: D3 or the duodenojejunal junction in three of 117 examinations, enteric fluid in two. The finding they did record was the whirlpool sign, present in about half of all examinations and of the children in whom operation confirmed volvulus. In this setting a positive report rested almost entirely on a sign of volvulus.</w:t>
      </w:r>
    </w:p>
    <w:p>
      <w:pPr>
        <w:spacing w:after="160" w:line="480" w:lineRule="auto"/>
      </w:pPr>
      <w:r>
        <w:t>Malrotation or volvulus was named in 54.7% of the surgically confirmed children who underwent ultrasound, compared with 93% in the original clinical reports and 97% on blinded review in the 2025 multicenter series, which excluded non-diagnostic and equivocal examinations [13], and a pooled 94% in meta-analysis [11], both in children investigated for suspicion. These figures are not interchangeable: ours is conditioned on confirmed disease and on the indications that selected these children, theirs on those exclusions, so the difference combines case mix, examination quality and technique in proportions this audit cannot separate. What it does show is that the elements to which published performance is attributed were almost never documented here: D3 [16, 17], the most accurate single sign in the 2025 series [13]; the duodenojejunal junction [12, 15]; and enteric fluid, associated with better performance in meta-analysis [11]. Whether documenting them would have raised detection cannot be tested, as documentation is a lower bound on what was done.</w:t>
      </w:r>
    </w:p>
    <w:p>
      <w:pPr>
        <w:spacing w:after="160" w:line="480" w:lineRule="auto"/>
      </w:pPr>
      <w:r>
        <w:t>The temporal analysis is exploratory. The crude rise in ultrasound detection was itself imprecise, the booking indicator was chosen after inspection of the data, and the earlier era contributed only 38 examinations. Adding the indicator roughly halved the estimated rise, but booking was not randomized: a child suspected of volvulus is both more likely to be booked for a vessel study and more likely to have a whirlpool, so indication and technique cannot be separated. The consistent observation is descriptive: duodenal landmarks were documented no more often in the later era, while whirlpool reporting rose.</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usually being the last preoperative test. The modalities were also used in different children for different reasons (Table 1), which no adjustment can undo.</w:t>
      </w:r>
    </w:p>
    <w:p>
      <w:pPr>
        <w:spacing w:after="160" w:line="480" w:lineRule="auto"/>
      </w:pPr>
      <w:r>
        <w:t>Departments adopting an ultrasound-first pathway on the basis of sensitivities of 93–97% should first establish that their examinations resemble those that produced them. Here the duodenal landmarks remained largely undocumented throughout the study period.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and whether the deficit at this center generalizes is unknown.</w:t>
      </w:r>
    </w:p>
    <w:p>
      <w:pPr>
        <w:pStyle w:val="Heading1"/>
      </w:pPr>
      <w:r>
        <w:t>Take-Home Points</w:t>
      </w:r>
    </w:p>
    <w:p>
      <w:pPr>
        <w:spacing w:after="160" w:line="480" w:lineRule="auto"/>
      </w:pPr>
      <w:r>
        <w:t>• Routine ultrasound reports for children with surgically confirmed malrotation documented the duodenal landmarks emphasized by published series in 2.6% of examinations and reported the diagnosis almost only when a whirlpool sign was present.</w:t>
      </w:r>
    </w:p>
    <w:p>
      <w:pPr>
        <w:spacing w:after="160" w:line="480" w:lineRule="auto"/>
      </w:pPr>
      <w:r>
        <w:t>• A positive routine ultrasound report rested almost entirely on the whirlpool sign, a sign of volvulus, which was recorded in only 59 of 112 children with operatively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Before assuming that published ultrasound performance applies locally, departments should audit whether their own reports document the duodenal landmarks; a structured report would make the gap auditable.</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line="480" w:lineRule="auto"/>
      </w:pPr>
      <w:r>
        <w:rPr>
          <w:b/>
        </w:rPr>
        <w:t>Supplement 3.</w:t>
      </w:r>
      <w:r>
        <w:t xml:space="preserve"> Content audit of the 313 CT and 293 upper gastrointestinal series index examinations, with detection conditional on documented content.</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20.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21.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22.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23. Firth D. Bias reduction of maximum likelihood estimates. </w:t>
      </w:r>
      <w:r>
        <w:rPr>
          <w:i/>
          <w:sz w:val="20"/>
        </w:rPr>
        <w:t>Biometrika</w:t>
      </w:r>
      <w:r>
        <w:rPr>
          <w:sz w:val="20"/>
        </w:rPr>
        <w:t>. 1993;80:27-38. doi:10.1093/biomet/80.1.27</w:t>
      </w:r>
    </w:p>
    <w:p>
      <w:pPr>
        <w:spacing w:after="60" w:line="480" w:lineRule="auto"/>
      </w:pPr>
      <w:r>
        <w:rPr>
          <w:sz w:val="20"/>
        </w:rPr>
        <w:t xml:space="preserve">24. Heinze G, Schemper M. A solution to the problem of separation in logistic regression. </w:t>
      </w:r>
      <w:r>
        <w:rPr>
          <w:i/>
          <w:sz w:val="20"/>
        </w:rPr>
        <w:t>Stat Med</w:t>
      </w:r>
      <w:r>
        <w:rPr>
          <w:sz w:val="20"/>
        </w:rPr>
        <w:t>. 2002;21:2409-2419. doi:10.1002/sim.1047</w:t>
      </w:r>
    </w:p>
    <w:p>
      <w:r>
        <w:br w:type="page"/>
      </w:r>
    </w:p>
    <w:p>
      <w:pPr>
        <w:pStyle w:val="Heading1"/>
      </w:pPr>
      <w:r>
        <w:t>Figure Legends</w:t>
      </w:r>
    </w:p>
    <w:p>
      <w:pPr>
        <w:spacing w:after="160" w:line="480" w:lineRule="auto"/>
      </w:pPr>
      <w:r>
        <w:rPr>
          <w:b/>
        </w:rPr>
        <w:t>Figure 1. Study flow and the imaging received by children without an index test.</w:t>
      </w:r>
      <w:r>
        <w:t xml:space="preserve"> Retrieval of 559 operative records in 499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Recurrent/intermittent symptoms,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212 (47.1)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146 (49.8)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144 (46.0)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 (44.4)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 (36.5)</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75 (32.6)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82 (35.7)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50.5</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15 (23.4)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17 (26.6)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32 (50.0)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27.4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r>
        <w:br w:type="page"/>
      </w:r>
    </w:p>
    <w:p>
      <w:pPr>
        <w:keepNext/>
        <w:spacing w:after="160"/>
      </w:pPr>
      <w:r>
        <w:rPr>
          <w:b/>
        </w:rPr>
        <w:t>Table 3. Documented content of the 117 routine gastrointestinal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2012–2018 (n=38)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2019–2026 (n=79)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63/108 (58%)</w:t>
            </w:r>
          </w:p>
        </w:tc>
      </w:tr>
    </w:tbl>
    <w:p>
      <w:pPr>
        <w:spacing w:after="160"/>
      </w:pPr>
      <w:r>
        <w:rPr>
          <w:i/>
          <w:sz w:val="17"/>
        </w:rPr>
        <w:t>The index unit is the examination episode closest to operation, pooling all reports of that modality issued that day. Content was coded from the findings and conclusion text by two readers, an ultrasound physician and a pediatric surgeon,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a gastrointestinal and a great-vessel study.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1.37 (0.73–2.57), p=0.333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+5.1</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2.27 (1.38–3.72), p=0.001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2.02 (1.21–3.37), p=0.007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Intravenous contrast enhancement 3.98 (1.90–8.37), p&lt;0.001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+19.8 → +16.4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2.13 (0.97–4.67), p=0.060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1.45 (0.62–3.40), p=0.397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Session included a great-vessel study 3.51 (1.56–7.87), p=0.002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+18.7 → +8.4</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543853"/>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543853"/>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72895"/>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72895"/>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