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the same manuscript.</w:t>
      </w:r>
    </w:p>
    <w:p>
      <w:pPr>
        <w:spacing w:after="160"/>
      </w:pPr>
      <w:r>
        <w:rPr>
          <w:b/>
        </w:rPr>
        <w:t>Table S8.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Upper gastrointestinal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214/276 (78%)</w:t>
            </w:r>
          </w:p>
        </w:tc>
      </w:tr>
    </w:tbl>
    <w:p>
      <w:pPr>
        <w:spacing w:after="160"/>
      </w:pPr>
    </w:p>
    <w:p>
      <w:pPr>
        <w:spacing w:after="160"/>
      </w:pPr>
      <w:r>
        <w:t>Content was coded from the findings and conclusion text of each index examination episode using the patterns in Supplement 1, Section H.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likely to conclude that malrotation is present. The tabulation is informative for how often each element was documented, not for the strength of these associations.</w:t>
      </w:r>
    </w:p>
    <w:p>
      <w:pPr>
        <w:spacing w:after="160"/>
      </w:pPr>
      <w:r>
        <w:t>Two features of these reports bear on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which renders the whirl visible, was used in only 16.0%; together these account for most of the observed CT detection rate.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