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line="480" w:lineRule="auto"/>
      </w:pPr>
      <w:r>
        <w:t>[Masked manuscript. Author names, affiliations and corresponding-author details are provided on the separate title page.]</w:t>
      </w:r>
    </w:p>
    <w:p>
      <w:pPr>
        <w:spacing w:after="160" w:line="480" w:lineRule="auto"/>
      </w:pPr>
      <w:r>
        <w:t>Word count: 2,996 (Introduction through Take-Home Points; excluding abstract, references, tables and figure legends); Tables: 4; Figures: 3; Supplemental material: Supplements 1–4</w:t>
      </w:r>
    </w:p>
    <w:p>
      <w:pPr>
        <w:pStyle w:val="Heading1"/>
      </w:pPr>
      <w:r>
        <w:t>Abstract</w:t>
      </w:r>
    </w:p>
    <w:p>
      <w:pPr>
        <w:spacing w:after="160" w:line="480" w:lineRule="auto"/>
      </w:pPr>
      <w:r>
        <w:rPr>
          <w:b/>
        </w:rPr>
        <w:t>Objective:</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separately audited for documented technical content (ultrasound by two independent readers). Because the cohort was surgically confirmed, the outcome is report-level detection among tested children, with Wilson 95% CIs;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CI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a positivity criterion, and in 5 of 58 without one. A whirlpool was recorded in 59 of the 112 ultrasound-examined children with operatively confirmed volvulus. Detection was 53.8% counting only conclusions naming malrotation, 25.6% excluding tentative wording.</w:t>
      </w:r>
    </w:p>
    <w:p>
      <w:pPr>
        <w:spacing w:after="160" w:line="480" w:lineRule="auto"/>
      </w:pPr>
      <w:r>
        <w:rPr>
          <w:b/>
        </w:rPr>
        <w:t>Discussion:</w:t>
      </w:r>
      <w:r>
        <w:t xml:space="preserve"> Positive routine ultrasound reports almost always described a whirlpool, and the duodenal landmarks to which published performance is attributed were rarely documented. Documentation, unlike accuracy, can be audited without a reference standard; we provide the criteria as a minimum reporting dataset.</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within hours to bowel necrosis [1] and lead to short-bowel syndrome or death [1, 2]. Bilious vomiting in a neonate is a surgical emergency until malrotation with volvulus has been excluded, although older children may present atypically and be diagnosed late [3, 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CT is not a dedicated test, and the mesenteric swirl it may show is neither reliably present nor specific in children [9, 10]. The field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 The 2020 ACR Appropriateness Criteria, which predate most of this evidence, rate ultrasound as "may be appropriate" and the UGI series as "usually appropriate" for bilious vomiting in infants older than 2 days [19].</w:t>
      </w:r>
    </w:p>
    <w:p>
      <w:pPr>
        <w:spacing w:after="160" w:line="480" w:lineRule="auto"/>
      </w:pPr>
      <w:r>
        <w:t>A report audit of the UGI series for malrotation found discrepancies with blinded re-reading and proposed a structured template [20], but whether routine reports from a general pediatric ultrasound service document the elements to which that performance is attributed, and how this relates to whether the diagnosis is reported, has not to our knowledge been examined at scale.</w:t>
      </w:r>
    </w:p>
    <w:p>
      <w:pPr>
        <w:spacing w:after="160" w:line="480" w:lineRule="auto"/>
      </w:pPr>
      <w:r>
        <w:t>We therefore audited 13.6 years of routine reports at a tertiary children's hospital. Because every child had surgically confirmed malrotation, the study measures how often the disease was reported and with what documented content, not how accurate the tests are. The UGI series and CT are reported alongside ultrasound to show where ultrasound sat in the diagnostic pathway, not to rank them. The audit criteria are provided as a minimum reporting dataset (Supplement 4).</w:t>
      </w:r>
    </w:p>
    <w:p>
      <w:pPr>
        <w:pStyle w:val="Heading1"/>
      </w:pPr>
      <w:r>
        <w:t>Methods</w:t>
      </w:r>
    </w:p>
    <w:p>
      <w:pPr>
        <w:pStyle w:val="Heading2"/>
      </w:pPr>
      <w:r>
        <w:t>Design, terminology and estimable quantities</w:t>
      </w:r>
    </w:p>
    <w:p>
      <w:pPr>
        <w:spacing w:after="160" w:line="480" w:lineRule="auto"/>
      </w:pPr>
      <w:r>
        <w:t xml:space="preserve">This was a retrospective, single-center, case-only report audit approved by the institutional review board with waiver of consent. Reporting follows STROBE [21];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does not transfer to children investigated for suspicion. Specificity, predictive values and any accuracy-based ranking cannot be estimated. The whirlpool sign is a sign of volvulus rather than of malrotation [22].</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whose operative diagnosis named intestinal malrotation or whose procedure was recorded as a Ladd procedure were selected (search strings in Supplement 1): 503 records in 465 children. The anchor operation was each child's first such operation. One author, with the imaging labels visible, re-read all operative records for 34 children whose anchor operation was not named as a malrotation procedure or followed earlier malrotation surgery: 19 were retained and 15 excluded, 6 in whom that operation did not confirm malrotation and 9 reoperations (Supplement 1). The remaining 450 consecutive children form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for an unrelated earlier illness were removed. This yielded 723 index examinations from 761 reports; 32 earlier repeat examinations were not audited (Figure 1). The clinical indication was not retrievable, so confounding by indication is displayed in Table 1, not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reports no change in ultrasound equipment, reporting staff or protocol during the study period.</w:t>
      </w:r>
    </w:p>
    <w:p>
      <w:pPr>
        <w:pStyle w:val="Heading2"/>
      </w:pPr>
      <w:r>
        <w:t>Report-content audit and classification</w:t>
      </w:r>
    </w:p>
    <w:p>
      <w:pPr>
        <w:spacing w:after="160" w:line="480" w:lineRule="auto"/>
      </w:pPr>
      <w:r>
        <w:t>Each ultrasound index examination was coded by two readers, an ultrasound physician and a pediatric surgeon, both authors who had reported none of the examinations, working independently from the findings and conclusion text against written criteria for twelve elements, from D3 and the duodenojejunal junction to the whirlpool sign and limiting bowel gas (Table 3).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and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standard here, so the certainty tier of every positive conclusion was tabulated and the analyses repeated with "possible" tiers counted as negative.</w:t>
      </w:r>
    </w:p>
    <w:p>
      <w:pPr>
        <w:spacing w:after="160" w:line="480" w:lineRule="auto"/>
      </w:pPr>
      <w:r>
        <w:t>Report text was classified using a rule-based, clause-level algorithm [23] with explicit negation handling [24] (Supplement 1). A pediatric surgeon, one of the authors, blinded to the operative findings adjudicated 32 reports: agreement was 92% (Cohen kappa 0.83, 95% CI 0.61–1.00) in a stratified random sample of 24, and a targeted review of 8 suspected discordances found 5 further under-calls, excluded from the agreement statistics. A two-directional screen of every index examination then returned nine positives that no diagnostic term or sign pattern supported, three of which source review confirmed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confidence intervals (CIs). Between-modality comparison used a generalized estimating equation (GEE) logistic model [25] with an exchangeable working correlation, patient-level clustering and cluster-robust standard errors, unadjusted and adjusted for era (2012–2018 vs 2019–2026) and age group (≤28 days, 29 days–1 year, &gt;1 year), with standardized detection and cluster-bootstrap CIs. Modalities a child did not undergo are unobserved outcomes, not missing at random here, so these coefficients describe reporting among children who underwent each test. A pre-specified modality-by-volvulus interaction was not estimable, no ultrasound examination being positive among the five children without volvulus; a Firth penalized estimate is given in Supplement 2 [26, 27].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(Table 4); the era boundary was varied from 2019 to 2022 and era-by-covariate interactions fitted. Sensitivity analyses varied the outcome definition, index examination, interval to operation and ultrasound denominator (Supplement 2). P values were not adjusted for multiplicity; Supplement 2 lists which analyses were pre-specified. Analyses used Python 3.11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in four it was documented before transfer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last preoperative test was the UGI series in 75.0% of those who received it, ultrasound in 36.8% (39/106) and CT in 19.2%; UGI detection was higher when it came last (80.0% [144/180] vs 70.0% [42/60] when it did not), which may reflect the pathway rather than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GEE model adjusted for era and age group, CT and ultrasound were less often positive than the UGI series (odds ratios 0.29, 95% CI 0.20–0.41, and 0.27, 0.17–0.44; standardized differences −25.5, −32.2 to −18.8, and −26.4, −35.9 to −16.8 percentage points); the coefficients absorb indication, pathway position and examination content (Supplement 2). Reclassifying possible-tier conclusions as negative reduced detection to 50.2%, 32.9% and 25.6%, and the adjusted odds ratio for ultrasound against CT fell from 0.96 (0.64–1.45) to 0.62 (0.38–1.01); counting only conclusions that named malrotation gave 77.8%, 48.6% and 53.8% (Table 2). Restricting to examinations within 2 days of operation, or using the earliest or any preoperative examination, changed these results little (Supplement 2).</w:t>
      </w:r>
    </w:p>
    <w:p>
      <w:pPr>
        <w:pStyle w:val="Heading2"/>
      </w:pPr>
      <w:r>
        <w:t>Documented content of ultrasound examinations</w:t>
      </w:r>
    </w:p>
    <w:p>
      <w:pPr>
        <w:spacing w:after="160" w:line="480" w:lineRule="auto"/>
      </w:pPr>
      <w:r>
        <w:t>Of the 117 ultrasound index examinations, three (2.6%; 95% CI 0.9–7.3) documented D3 or the duodenojejunal junction (all three among the 112 booked as gastrointestinal or great-vessel studies)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in the 119 episodes read (kappa 0.80–1.00; Supplement 1).</w:t>
      </w:r>
    </w:p>
    <w:p>
      <w:pPr>
        <w:spacing w:after="160" w:line="480" w:lineRule="auto"/>
      </w:pPr>
      <w:r>
        <w:t>Of these three, only one, in 2022, followed D3 between the artery and the aorta and identified the duodenojejunal junction, as the published technique describes [16, 17].</w:t>
      </w:r>
    </w:p>
    <w:p>
      <w:pPr>
        <w:spacing w:after="160" w:line="480" w:lineRule="auto"/>
      </w:pPr>
      <w:r>
        <w:t>The diagnosis was named in all 59 examinations recording a whirlpool and in 5 of the 58 without one (8.6%, 95% CI 3.7–18.6). This contrast is partly definitional, as a whirlpool is itself a positivity criterion, although all 59 conclusions also named malrotation explicitly. A whirlpool was recorded in 59 of the 112 children (52.7%) who underwent ultrasound and in whom operation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(odds ratio 2.27, 1.38–3.72), whereas the UGI estimate was imprecise (+5.1 percentage points, −4.7 to +15.0; Table 4). Sessions including a great-vessel study rose from 34.2% to 68.4%, and adding this booking indicator reduced the ultrasound difference to +8.4 (−10.6 to +29.2) percentage points (Supplement 2). Whirlpool reporting rose from 39.5% to 55.7%; D3 or the duodenojejunal junction was documented in one of 38 and two of 79 examinations, too few to show a trend.</w:t>
      </w:r>
    </w:p>
    <w:p>
      <w:pPr>
        <w:pStyle w:val="Heading2"/>
      </w:pPr>
      <w:r>
        <w:t>Selected subgroup and populations not represented</w:t>
      </w:r>
    </w:p>
    <w:p>
      <w:pPr>
        <w:spacing w:after="160" w:line="480" w:lineRule="auto"/>
      </w:pPr>
      <w:r>
        <w:t xml:space="preserve">Fifty-nine children underwent all three modalities. This subgroup, presumably selected by diagnostic uncertainty,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with the same ordering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13.6 years, routine ultrasound reports for children who proved to have intestinal malrotation rarely recorded the duodenal anatomy to which contemporary ultrasound accuracy is attributed: D3 or the duodenojejunal junction in three of 117 examinations, enteric fluid in two. The finding they did record was the whirlpool sign, present in about half of all examinations and of the children in whom operation confirmed volvulus. Such low documentation might be expected with free-text reports and no structured template, as here. Positive reports almost always described a whirlpool (59 of 64).</w:t>
      </w:r>
    </w:p>
    <w:p>
      <w:pPr>
        <w:spacing w:after="160" w:line="480" w:lineRule="auto"/>
      </w:pPr>
      <w:r>
        <w:t>Malrotation or volvulus was named in 54.7% of the surgically confirmed children who underwent ultrasound, compared with 93–97% for malrotation and 97% for volvulus in the 2025 multicenter series, which excluded non-diagnostic and equivocal examinations [13] (in a multi-institutional cohort, 25.7% of examinations for malrotation were non-diagnostic on the original report [28]), and a pooled 94% in meta-analysis [11], both in children investigated for suspicion. These figures are not interchangeable: ours is conditioned on confirmed disease and on the indications that selected these children, theirs on those exclusions, so the difference combines case mix, examination quality and technique in proportions this audit cannot separate. What it does show is that the elements to which published performance is attributed were almost never documented here: D3 [16, 17], the most accurate sign for malrotation in the 2025 series [13]; the duodenojejunal junction [12, 15]; and enteric fluid, associated with better performance in meta-analysis [11].</w:t>
      </w:r>
    </w:p>
    <w:p>
      <w:pPr>
        <w:spacing w:after="160" w:line="480" w:lineRule="auto"/>
      </w:pPr>
      <w:r>
        <w:t>The temporal analysis is exploratory: the crude rise was imprecise, the booking indicator was chosen after inspecting the data, and booking may reflect clinical suspicion, which was not recorded and may itself relate to finding a whirlpool. Descriptively, whirlpool reporting rose, whereas too few examinations documented the landmarks to show a trend.</w:t>
      </w:r>
    </w:p>
    <w:p>
      <w:pPr>
        <w:spacing w:after="160" w:line="480" w:lineRule="auto"/>
      </w:pPr>
      <w:r>
        <w:t>Two features of the design make the between-modality differences uninterpretable as accuracy. The reference standard is not independent of the index tests: the surgeon presumably knew the preoperative imaging, and a positive UGI series, the last preoperative test in 75.0% of children who had it with another index test, may often have precipitated the operation that confirmed the diagnosis, an incorporation bias asymmetrical between tests. The modalities were also used in different children for different reasons (Table 1), which no adjustment can undo.</w:t>
      </w:r>
    </w:p>
    <w:p>
      <w:pPr>
        <w:spacing w:after="160" w:line="480" w:lineRule="auto"/>
      </w:pPr>
      <w:r>
        <w:t>The low documentation may bear on departments adopting an ultrasound-first pathway based on sensitivities of 93–97%, and on revisions of the 2020 ACR guidance [19]: published performance may not apply where examinations differ from those that produced it. Unlike accuracy, documentation needs no reference standard and can be audited prospectively in every examination requested for suspected malrotation. Supplement 4 sets out the audited elements as a minimum reporting dataset, with this audit as the baseline for a second cycle. These data cannot estimate the negative predictive value of a routine report.</w:t>
      </w:r>
    </w:p>
    <w:p>
      <w:pPr>
        <w:pStyle w:val="Heading2"/>
      </w:pPr>
      <w:r>
        <w:t>Limitations</w:t>
      </w:r>
    </w:p>
    <w:p>
      <w:pPr>
        <w:spacing w:after="160" w:line="480" w:lineRule="auto"/>
      </w:pPr>
      <w:r>
        <w:t>This is not a diagnostic accuracy study: detection among surgically confirmed children who underwent a test does not transfer to children investigated for suspicion [11, 13, 14]. The cohort contains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an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rather than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Radiation dose could not be captured. This is one audit cycle at one center: whether the findings generalize, whether a structured report would raise documentation and whether documentation would raise detection are unknown.</w:t>
      </w:r>
    </w:p>
    <w:p>
      <w:pPr>
        <w:pStyle w:val="Heading1"/>
      </w:pPr>
      <w:r>
        <w:t>Take-Home Points</w:t>
      </w:r>
    </w:p>
    <w:p>
      <w:pPr>
        <w:spacing w:after="160" w:line="480" w:lineRule="auto"/>
      </w:pPr>
      <w:r>
        <w:t>• At one center, routine ultrasound reports for children with surgically confirmed malrotation (96% with volvulus) documented the duodenal landmarks emphasized by published series in 2.6% of 117 examinations.</w:t>
      </w:r>
    </w:p>
    <w:p>
      <w:pPr>
        <w:spacing w:after="160" w:line="480" w:lineRule="auto"/>
      </w:pPr>
      <w:r>
        <w:t>• Positive ultrasound reports almost always described a whirlpool (59 of 64), a sign of volvulus, which was recorded in 59 of the 112 ultrasound-examined children with volvulus.</w:t>
      </w:r>
    </w:p>
    <w:p>
      <w:pPr>
        <w:spacing w:after="160" w:line="480" w:lineRule="auto"/>
      </w:pPr>
      <w:r>
        <w:t>• These are report-level detection rates among surgically confirmed children, not sensitivities; they establish no specificity, predictive value or ranking of modalities, and are no argument against ultrasound-first pathways.</w:t>
      </w:r>
    </w:p>
    <w:p>
      <w:pPr>
        <w:spacing w:after="160" w:line="480" w:lineRule="auto"/>
      </w:pPr>
      <w:r>
        <w:t>• Documentation, unlike accuracy, can be audited without a reference standard; the audit criteria are provided as a minimum reporting dataset, with this audit as the baseline for re-audit.</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(`Supplement_1_classifier.py`),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examination; and standardized detection under four definitions of a positive report, the timing and choice of the index examination, and ultrasound content by booking category.</w:t>
      </w:r>
    </w:p>
    <w:p>
      <w:pPr>
        <w:spacing w:after="160" w:line="480" w:lineRule="auto"/>
      </w:pPr>
      <w:r>
        <w:rPr>
          <w:b/>
        </w:rPr>
        <w:t>Supplement 3.</w:t>
      </w:r>
      <w:r>
        <w:t xml:space="preserve"> Content audit of the 313 CT and 293 upper gastrointestinal series index examinations, with detection conditional on documented content.</w:t>
      </w:r>
    </w:p>
    <w:p>
      <w:pPr>
        <w:spacing w:after="160" w:line="480" w:lineRule="auto"/>
      </w:pPr>
      <w:r>
        <w:rPr>
          <w:b/>
        </w:rPr>
        <w:t>Supplement 4.</w:t>
      </w:r>
      <w:r>
        <w:t xml:space="preserve"> A minimum reporting dataset for ultrasound in suspected intestinal malrotation, with the documentation rates of this audit as the baseline, and how to re-audit against it without a reference standard.</w:t>
      </w:r>
    </w:p>
    <w:p>
      <w:pPr>
        <w:pStyle w:val="Heading1"/>
      </w:pPr>
      <w:r>
        <w:t>Declarations</w:t>
      </w:r>
    </w:p>
    <w:p>
      <w:pPr>
        <w:spacing w:after="160" w:line="480" w:lineRule="auto"/>
      </w:pPr>
      <w:r>
        <w:rPr>
          <w:b/>
        </w:rPr>
        <w:t>Acknowledgments:</w:t>
      </w:r>
      <w:r>
        <w:t xml:space="preserve"> Provided on the separate title page.</w:t>
      </w:r>
    </w:p>
    <w:p>
      <w:pPr>
        <w:spacing w:after="160" w:line="480" w:lineRule="auto"/>
      </w:pPr>
      <w:r>
        <w:rPr>
          <w:b/>
        </w:rPr>
        <w:t>Funding:</w:t>
      </w:r>
      <w:r>
        <w:t xml:space="preserve"> Provided on the separate title page.</w:t>
      </w:r>
    </w:p>
    <w:p>
      <w:pPr>
        <w:spacing w:after="160" w:line="480" w:lineRule="auto"/>
      </w:pPr>
      <w:r>
        <w:rPr>
          <w:b/>
        </w:rPr>
        <w:t>Competing interests:</w:t>
      </w:r>
      <w:r>
        <w:t xml:space="preserve"> The authors declare that they have no competing interests.</w:t>
      </w:r>
    </w:p>
    <w:p>
      <w:pPr>
        <w:spacing w:after="160" w:line="480" w:lineRule="auto"/>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line="480" w:lineRule="auto"/>
      </w:pPr>
      <w:r>
        <w:rPr>
          <w:b/>
        </w:rPr>
        <w:t>Consent for publication:</w:t>
      </w:r>
      <w:r>
        <w:t xml:space="preserve"> Not applicable. This manuscript does not contain any individual person's data, images, or other identifiable material.</w:t>
      </w:r>
    </w:p>
    <w:p>
      <w:pPr>
        <w:spacing w:after="160" w:line="480" w:lineRule="auto"/>
      </w:pPr>
      <w:r>
        <w:rPr>
          <w:b/>
        </w:rPr>
        <w:t>Availability of data and materials:</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line="480" w:lineRule="auto"/>
      </w:pPr>
      <w:r>
        <w:rPr>
          <w:b/>
        </w:rPr>
        <w:t>Authors' contributions:</w:t>
      </w:r>
      <w:r>
        <w:t xml:space="preserve"> Provided on the separate title page.</w:t>
      </w:r>
    </w:p>
    <w:p>
      <w:pPr>
        <w:spacing w:after="160" w:line="480" w:lineRule="auto"/>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pStyle w:val="Heading1"/>
      </w:pPr>
      <w:r>
        <w:t>References</w:t>
      </w:r>
    </w:p>
    <w:p>
      <w:pPr>
        <w:spacing w:after="60" w:line="480" w:lineRule="auto"/>
      </w:pPr>
      <w:r>
        <w:rPr>
          <w:sz w:val="20"/>
        </w:rPr>
        <w:t xml:space="preserve">1. Marine MB, Karmazyn B. Imaging of malrotation in the neonate. </w:t>
      </w:r>
      <w:r>
        <w:rPr>
          <w:i/>
          <w:sz w:val="20"/>
        </w:rPr>
        <w:t>Semin Ultrasound CT MR</w:t>
      </w:r>
      <w:r>
        <w:rPr>
          <w:sz w:val="20"/>
        </w:rPr>
        <w:t>. 2014;35:555-570. doi:10.1053/j.sult.2014.08.004</w:t>
      </w:r>
    </w:p>
    <w:p>
      <w:pPr>
        <w:spacing w:after="60" w:line="480" w:lineRule="auto"/>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line="480" w:lineRule="auto"/>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line="480" w:lineRule="auto"/>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line="480" w:lineRule="auto"/>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line="480" w:lineRule="auto"/>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line="480" w:lineRule="auto"/>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line="480" w:lineRule="auto"/>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line="480" w:lineRule="auto"/>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line="480" w:lineRule="auto"/>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line="480" w:lineRule="auto"/>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line="480" w:lineRule="auto"/>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line="480" w:lineRule="auto"/>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line="480" w:lineRule="auto"/>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line="480" w:lineRule="auto"/>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line="480" w:lineRule="auto"/>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line="480" w:lineRule="auto"/>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line="480" w:lineRule="auto"/>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line="480" w:lineRule="auto"/>
      </w:pPr>
      <w:r>
        <w:rPr>
          <w:sz w:val="20"/>
        </w:rPr>
        <w:t xml:space="preserve">19. Expert Panel on Pediatric Imaging; Alazraki AL, Rigsby CK, Iyer RS, et al. ACR Appropriateness Criteria® Vomiting in Infants. </w:t>
      </w:r>
      <w:r>
        <w:rPr>
          <w:i/>
          <w:sz w:val="20"/>
        </w:rPr>
        <w:t>J Am Coll Radiol</w:t>
      </w:r>
      <w:r>
        <w:rPr>
          <w:sz w:val="20"/>
        </w:rPr>
        <w:t>. 2020;17(11S):S505-S515. doi:10.1016/j.jacr.2020.09.002</w:t>
      </w:r>
    </w:p>
    <w:p>
      <w:pPr>
        <w:spacing w:after="60" w:line="480" w:lineRule="auto"/>
      </w:pPr>
      <w:r>
        <w:rPr>
          <w:sz w:val="20"/>
        </w:rPr>
        <w:t xml:space="preserve">20. Keenan LN, Sewchuran T. Audit of upper gastrointestinal tract series examinations for diagnosing intestinal malrotation in a resource-limited radiology department in Southern Africa. </w:t>
      </w:r>
      <w:r>
        <w:rPr>
          <w:i/>
          <w:sz w:val="20"/>
        </w:rPr>
        <w:t>Surg Pract Sci</w:t>
      </w:r>
      <w:r>
        <w:rPr>
          <w:sz w:val="20"/>
        </w:rPr>
        <w:t>. 2023;14:100183. doi:10.1016/j.sipas.2023.100183</w:t>
      </w:r>
    </w:p>
    <w:p>
      <w:pPr>
        <w:spacing w:after="60" w:line="480" w:lineRule="auto"/>
      </w:pPr>
      <w:r>
        <w:rPr>
          <w:sz w:val="20"/>
        </w:rPr>
        <w:t xml:space="preserve">21.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line="480" w:lineRule="auto"/>
      </w:pPr>
      <w:r>
        <w:rPr>
          <w:sz w:val="20"/>
        </w:rPr>
        <w:t xml:space="preserve">22.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line="480" w:lineRule="auto"/>
      </w:pPr>
      <w:r>
        <w:rPr>
          <w:sz w:val="20"/>
        </w:rPr>
        <w:t xml:space="preserve">23.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line="480" w:lineRule="auto"/>
      </w:pPr>
      <w:r>
        <w:rPr>
          <w:sz w:val="20"/>
        </w:rPr>
        <w:t xml:space="preserve">24. Chapman WW, Bridewell W, Hanbury P, Cooper GF, Buchanan BG. A simple algorithm for identifying negated findings and diseases in discharge summaries. </w:t>
      </w:r>
      <w:r>
        <w:rPr>
          <w:i/>
          <w:sz w:val="20"/>
        </w:rPr>
        <w:t>J Biomed Inform</w:t>
      </w:r>
      <w:r>
        <w:rPr>
          <w:sz w:val="20"/>
        </w:rPr>
        <w:t>. 2001;34:301-310. doi:10.1006/jbin.2001.1029</w:t>
      </w:r>
    </w:p>
    <w:p>
      <w:pPr>
        <w:spacing w:after="60" w:line="480" w:lineRule="auto"/>
      </w:pPr>
      <w:r>
        <w:rPr>
          <w:sz w:val="20"/>
        </w:rPr>
        <w:t xml:space="preserve">25. Zeger SL, Liang KY. Longitudinal data analysis for discrete and continuous outcomes. </w:t>
      </w:r>
      <w:r>
        <w:rPr>
          <w:i/>
          <w:sz w:val="20"/>
        </w:rPr>
        <w:t>Biometrics</w:t>
      </w:r>
      <w:r>
        <w:rPr>
          <w:sz w:val="20"/>
        </w:rPr>
        <w:t>. 1986;42:121-130. doi:10.2307/2531248</w:t>
      </w:r>
    </w:p>
    <w:p>
      <w:pPr>
        <w:spacing w:after="60" w:line="480" w:lineRule="auto"/>
      </w:pPr>
      <w:r>
        <w:rPr>
          <w:sz w:val="20"/>
        </w:rPr>
        <w:t xml:space="preserve">26. Firth D. Bias reduction of maximum likelihood estimates. </w:t>
      </w:r>
      <w:r>
        <w:rPr>
          <w:i/>
          <w:sz w:val="20"/>
        </w:rPr>
        <w:t>Biometrika</w:t>
      </w:r>
      <w:r>
        <w:rPr>
          <w:sz w:val="20"/>
        </w:rPr>
        <w:t>. 1993;80:27-38. doi:10.1093/biomet/80.1.27</w:t>
      </w:r>
    </w:p>
    <w:p>
      <w:pPr>
        <w:spacing w:after="60" w:line="480" w:lineRule="auto"/>
      </w:pPr>
      <w:r>
        <w:rPr>
          <w:sz w:val="20"/>
        </w:rPr>
        <w:t xml:space="preserve">27. Heinze G, Schemper M. A solution to the problem of separation in logistic regression. </w:t>
      </w:r>
      <w:r>
        <w:rPr>
          <w:i/>
          <w:sz w:val="20"/>
        </w:rPr>
        <w:t>Stat Med</w:t>
      </w:r>
      <w:r>
        <w:rPr>
          <w:sz w:val="20"/>
        </w:rPr>
        <w:t>. 2002;21:2409-2419. doi:10.1002/sim.1047</w:t>
      </w:r>
    </w:p>
    <w:p>
      <w:pPr>
        <w:spacing w:after="60" w:line="480" w:lineRule="auto"/>
      </w:pPr>
      <w:r>
        <w:rPr>
          <w:sz w:val="20"/>
        </w:rPr>
        <w:t xml:space="preserve">28. El-Ali AM, Schiess DM, Van Tassel D, et al. Ultrasound for midgut volvulus and malrotation: frequency and predictors of a non-diagnostic examination in a multi-institutional cohort. </w:t>
      </w:r>
      <w:r>
        <w:rPr>
          <w:i/>
          <w:sz w:val="20"/>
        </w:rPr>
        <w:t>Pediatr Radiol</w:t>
      </w:r>
      <w:r>
        <w:rPr>
          <w:sz w:val="20"/>
        </w:rPr>
        <w:t>. 2025;55:925-935. doi:10.1007/s00247-024-06141-x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Records of 711 children in the clinical research database, selection of 503 operative records in 465 children, exclusions after review of the anchor operation, availability of each preoperative index test, and reduction of 793 eligible preoperative reports to 723 index examination episodes. Every one of the 52 children who received none of the three index examinations nonetheless had other preoperative imaging, four of them documented before transfer; the breakdown is shown at right.</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the two most often documented elements in panel A and on whether the session included a great-vessel study.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Gastrointestinal symptoms for 1 month or longer,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 (6.7)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(17.3)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Symptom duration is the longest duration of a gastrointestinal symptom stated in the chief complaint of the operative admission; a child whose chief complaint stated none was counted as not having symptoms for 1 month or longer. The rightmost column shows the 52 children who received none of the three index tests; all of them nonetheless had other preoperative imaging (Figure 1).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 (32.2)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 (36.1)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 (28.1)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 (53.1)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 (of 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 (of 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both authors who had reported none of the examinations,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UGI, upper gastrointestinal.</w:t>
      </w:r>
    </w:p>
    <w:p>
      <w:r>
        <w:br w:type="page"/>
      </w:r>
    </w:p>
    <w:p>
      <w:pPr>
        <w:keepNext/>
        <w:spacing w:after="160"/>
      </w:pPr>
      <w:r>
        <w:rPr>
          <w:b/>
        </w:rPr>
        <w:t>Figure 1</w:t>
      </w:r>
    </w:p>
    <w:p>
      <w:pPr>
        <w:jc w:val="center"/>
      </w:pPr>
      <w:r>
        <w:drawing>
          <wp:inline xmlns:a="http://schemas.openxmlformats.org/drawingml/2006/main" xmlns:pic="http://schemas.openxmlformats.org/drawingml/2006/picture">
            <wp:extent cx="5852160" cy="5600597"/>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5600597"/>
                    </a:xfrm>
                    <a:prstGeom prst="rect"/>
                  </pic:spPr>
                </pic:pic>
              </a:graphicData>
            </a:graphic>
          </wp:inline>
        </w:drawing>
      </w:r>
    </w:p>
    <w:p>
      <w:r>
        <w:br w:type="page"/>
      </w:r>
    </w:p>
    <w:p>
      <w:pPr>
        <w:keepNext/>
        <w:spacing w:after="160"/>
      </w:pPr>
      <w:r>
        <w:rPr>
          <w:b/>
        </w:rPr>
        <w:t>Figure 2</w:t>
      </w:r>
    </w:p>
    <w:p>
      <w:pPr>
        <w:jc w:val="center"/>
      </w:pPr>
      <w:r>
        <w:drawing>
          <wp:inline xmlns:a="http://schemas.openxmlformats.org/drawingml/2006/main" xmlns:pic="http://schemas.openxmlformats.org/drawingml/2006/picture">
            <wp:extent cx="5852160" cy="240654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406546"/>
                    </a:xfrm>
                    <a:prstGeom prst="rect"/>
                  </pic:spPr>
                </pic:pic>
              </a:graphicData>
            </a:graphic>
          </wp:inline>
        </w:drawing>
      </w:r>
    </w:p>
    <w:p>
      <w:r>
        <w:br w:type="page"/>
      </w:r>
    </w:p>
    <w:p>
      <w:pPr>
        <w:keepNext/>
        <w:spacing w:after="160"/>
      </w:pPr>
      <w:r>
        <w:rPr>
          <w:b/>
        </w:rPr>
        <w:t>Figure 3</w:t>
      </w:r>
    </w:p>
    <w:p>
      <w:pPr>
        <w:jc w:val="center"/>
      </w:pPr>
      <w:r>
        <w:drawing>
          <wp:inline xmlns:a="http://schemas.openxmlformats.org/drawingml/2006/main" xmlns:pic="http://schemas.openxmlformats.org/drawingml/2006/picture">
            <wp:extent cx="5943600" cy="2267970"/>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5943600" cy="2267970"/>
                    </a:xfrm>
                    <a:prstGeom prst="rect"/>
                  </pic:spPr>
                </pic:pic>
              </a:graphicData>
            </a:graphic>
          </wp:inline>
        </w:drawing>
      </w:r>
    </w:p>
    <w:sectPr w:rsidR="00FC693F" w:rsidRPr="0006063C" w:rsidSect="00034616">
      <w:footerReference w:type="default" r:id="rId12"/>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