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15, 2026</w:t>
      </w:r>
    </w:p>
    <w:p>
      <w:pPr>
        <w:spacing w:after="160"/>
      </w:pPr>
      <w:r>
        <w:t>The Editor-in-Chief</w:t>
      </w:r>
    </w:p>
    <w:p>
      <w:pPr>
        <w:spacing w:after="160"/>
      </w:pPr>
      <w:r>
        <w:rPr>
          <w:i/>
        </w:rPr>
        <w:t>European Journal of Radiology</w:t>
      </w:r>
    </w:p>
    <w:p>
      <w:pPr>
        <w:spacing w:after="160"/>
      </w:pPr>
      <w:r>
        <w:t>Dear Editor,</w:t>
      </w:r>
    </w:p>
    <w:p>
      <w:pPr>
        <w:spacing w:after="160"/>
      </w:pPr>
      <w:r>
        <w:t xml:space="preserve">We are pleased to submit our Research Paper, "Routine Ultrasound Reports for Pediatric Intestinal Malrotation Rarely Document Duodenal Landmarks: A Single-Center Audit," for consideration by the </w:t>
      </w:r>
      <w:r>
        <w:rPr>
          <w:i/>
        </w:rPr>
        <w:t>European Journal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American College of Radiology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The question concerns the content and quality of routine ultrasound reports in a pediatric surgical emergency, rather than the intrinsic accuracy of a modality. It bears directly on the journal's aim of informing efficient, appropriate and evidence-based imaging practice, which is why we are submitting it to the </w:t>
      </w:r>
      <w:r>
        <w:rPr>
          <w:i/>
        </w:rPr>
        <w:t>European Journal of Radiology</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has not been published, and is not under consideration elsewhere; it reached this journal through Elsevier's Article Transfer Service after an editorial decision at another Elsevier journal that did not involve external review.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artificial intelligence tool in preparing the manuscript is declared in the manuscript. In keeping with the journal's double anonymized review, the manuscript and supplementary files contain no author details; these, together with the acknowledgments, ethics approval details and author contributions,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