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26"/>
        </w:rPr>
        <w:t>STROBE Statement — checklist of items that should be included in reports of cohort studies</w:t>
      </w:r>
    </w:p>
    <w:p>
      <w:pPr>
        <w:spacing w:after="160"/>
      </w:pPr>
      <w:r>
        <w:rPr>
          <w:sz w:val="20"/>
        </w:rPr>
        <w:t>Manuscript: "Routine Ultrasound Reports for Pediatric Intestinal Malrotation Rarely Document Duodenal Landmarks: A Single-Center Audit"</w:t>
      </w:r>
    </w:p>
    <w:p>
      <w:pPr>
        <w:spacing w:after="160"/>
      </w:pPr>
      <w:r>
        <w:rPr>
          <w:i/>
          <w:sz w:val="19"/>
        </w:rPr>
        <w:t>The study is a retrospective, single-center, case-only report audit and is reported according to STROBE for cohort studies. STARD is deliberately not claimed: the cohort contains no test-negative children, so the design does not meet the definition of a diagnostic accuracy study and specificity, predictive values and any ranking of the three modalities are not estimable. Locations are given by manuscript section rather than by page, since pagination changes with the journal's template.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408"/>
        <w:gridCol w:w="3408"/>
        <w:gridCol w:w="3408"/>
      </w:tblGrid>
      <w:tr>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Item</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Recommendation (STROBE, cohort studies)</w:t>
            </w:r>
          </w:p>
        </w:tc>
        <w:tc>
          <w:tcPr>
            <w:tcW w:type="dxa" w:w="3408"/>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Reported in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the study's design with a commonly used term in the title or the abstract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('audit'); Materials and Methods, 'Design, terminology and estimable quantities'; Abstract, Methods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Title and abstract 1(b)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Provide in the abstract an informative and balanced summary of what was done and what was found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Abstract (Objectives, Methods, Results, Conclusions); Highlights file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Background/rationale 2</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the scientific background and rationale for the investigation being reported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paragraphs 1–3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 Objectives 3</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 specific objectives, including any prespecified hypotheses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Introduction, final paragraph; Abstract, Objective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design 4</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key elements of study design early in the paper</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and estimable quantities'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Setting 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the setting, locations, and relevant dates, including periods of recruitment, exposure, follow-up, and data collection</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reference standard and index tests' (single tertiary children's hospital, December 2012–June 2026)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the eligibility criteria, and the sources and methods of selection of participants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(consecutive children with an operative diagnosis of malrotation; institutional clinical research database; first qualifying operation as anchor; 15 excluded after review of the anchor operation); Figure 1; Supplement 1, Section K1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Participants 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matched studies, give matching criteria and number of exposed and unexposed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matching)</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Variables 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Clearly define all outcomes, exposures, predictors, potential confounders, and effect modifiers. Give diagnostic criteria, if applicable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(report-level detection defined); 'Participants…' (volvulus definition); 'Report-content audit and classification' (positivity criteria, content items); Supplement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Data sources/measurement 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For each variable of interest, give sources of data and details of methods of assessment. Describe comparability of assessment methods if there is more than one group</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'Report-content audit and classification' (ultrasound content coded by two independent readers, with kappa); Supplement 1, Sections A–K</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Bias 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efforts to address potential sources of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'Design, terminology…' (three stated consequences of the case-only design); Discussion, paragraph on incorporation bias, pathway position and confounding by indication; Table 1 displays confounding by indication rather than adjusting it</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Study size 10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the study size was arrived at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'Participants…' (all consecutive eligible children; no sample-size calculation)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Quantitative variables 11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quantitative variables were handled in the analyses; if applicable, describe which groupings were chosen and why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(age category ≤28 days / 29 days–1 year / &gt;1 year; era 2012–2018 vs 2019–2026); certainty tiers in 'Report-content audit and classification'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all statistical methods, including those used to control for confounding</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(GEE with patient-level clustering; adjustment for era and age category)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methods used to examine subgroups and interactions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(modality-by-volvulus interaction, non-estimable owing to complete separation; subgroup receiving all three modalities); Supplement 2</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Explain how missing data were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characterized, not imputed); Discussion, Limitations (informative missingness)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applicable, explain how loss to follow-up was addressed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 (no follow-up; single preoperative index test per modality)</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Methods — Statistical methods 12(e)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 any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and 'Report-content audit and classification' (reclassification of possible-tier conclusions; counting only conclusions naming malrotation; paired analysis restricted to 48 h and 24 h; four definitions of a positive report, index examination and interval to operation, ultrasound denominator); Supplement 2, S2.7 to S2.9</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individuals at each stage of study</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reasons for non-participation at each stage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(the 52 children without an index test, with the imaging they did receive); 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Participants 13(c)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Consider use of a flow diagram</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Figure 1</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characteristics of study participants and information on exposures and potential confounders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1 (overall and by index test received)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Indicate number of participants with missing data for each variable of interest</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'Cohort…'; Table 1 footnote; denominators shown with every rate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Descriptive data 14(c)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follow-up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applicable</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Outcome data 15</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numbers of outcome events or summary measures over time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Table 2 (detection with denominators); Table 3 (ultrasound report content); Table 4 (change between eras)</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16(a)</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unadjusted estimates and, if applicable, confounder-adjusted estimates and their precision. Make clear which confounders were adjusted for and why they were included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'Detection and certainty of wording' (adjusted GEE odds ratios and standardized differences with 95% CIs); Supplement 2, Tables S4, S14 and S15</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16(b)</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category boundaries when continuous variables were categorized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Materials and Methods, 'Statistical analysis'; Supplement 2, Table S6</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Main results 16(c)</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If relevant, consider translating estimates of relative risk into absolute risk for a meaningful time period</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rates are reported as absolute proportions with denominators throughout (Table 2, Figures 2–3)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 Other analyses 17</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Report other analyses done — eg analyses of subgroups and interactions, and sensitivity analyses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'Documented content of ultrasound examinations', 'Change in detection over time', 'Selected subgroup and populations not represented'; Supplements 2 and 3</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Key results 18</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Summarize key results with reference to study objectives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1–3; Conclusion</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Limitations 19</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limitations of the study, taking into account sources of potential bias or imprecision. Discuss both direction and magnitude of any potential bias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'Limitations'; and the paragraph on incorporation bias, pathway position and confounding by indication, which states the direction of each</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Interpretation 20</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Give a cautious overall interpretation of results considering objectives, limitations, multiplicity of analyses, results from similar studies, and other relevant evidence</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paragraphs 2–5; Conclusion (explicit statement that no sensitivity, specificity or ranking is established)</w:t>
            </w:r>
          </w:p>
        </w:tc>
      </w:tr>
      <w:tr>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Discussion — Generalizability 21</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Discuss the generalisability (external validity) of the study results</w:t>
            </w:r>
          </w:p>
        </w:tc>
        <w:tc>
          <w:tcPr>
            <w:tcW w:type="dxa" w:w="3408"/>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Results, 'Selected subgroup and populations not represented'; Discussion, Limitations (single center, one audit cycle; skew toward severe neonatal disease); Supplement 4 (how the documentation audit can be repeated elsewhere without a reference standard)</w:t>
            </w:r>
          </w:p>
        </w:tc>
      </w:tr>
      <w:tr>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Other information — Funding 22</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Give the source of funding and the role of the funders for the present study and, if applicable, for the original study on which the present article is based</w:t>
            </w:r>
          </w:p>
        </w:tc>
        <w:tc>
          <w:tcPr>
            <w:tcW w:type="dxa" w:w="3408"/>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Title page, Funding</w:t>
            </w:r>
          </w:p>
        </w:tc>
      </w:tr>
    </w:tbl>
    <w:p/>
    <w:p>
      <w:pPr>
        <w:spacing w:after="0"/>
      </w:pPr>
      <w:r>
        <w:rPr>
          <w:i/>
          <w:sz w:val="17"/>
        </w:rPr>
        <w:t>Note: An Explanation and Elaboration article discusses each checklist item and gives methodological background and published examples of transparent reporting. The STROBE checklist is best used in conjunction with that article, freely available on the STROBE website (https://www.strobe-statement.org).</w:t>
      </w:r>
    </w:p>
    <w:sectPr w:rsidR="00FC693F" w:rsidRPr="0006063C" w:rsidSect="00034616">
      <w:footerReference w:type="default" r:id="rId9"/>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2026-10-15T14:48:33Z</dcterms:created>
  <dcterms:modified xsi:type="dcterms:W3CDTF">2026-10-15T14:48:33Z</dcterms:modified>
  <cp:category/>
  <cp:contentStatus/>
  <dc:identifier/>
  <dc:language/>
  <cp:version/>
</cp:coreProperties>
</file>