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provides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so a sign described only in the findings, or a finding described morphologically without the diagnosis being named, could make a report positive (Section G). The final outcome is therefore "positive under the study definition after adjudication", not "positive conclusion", and the two differ in the seven index units listed in Section J.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whose conclusion or findings contained a malrotation, whirlpool or volvulus term while the machine label was negative. Five were confirmed as machine under-calls and corrected; all five named malrotation in the conclusion in tentative or hedged-exclusion wording ("cannot be excluded", "recommend further study to exclude", "may be considered").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 xml:space="preserve">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w:t>
      </w:r>
      <w:r>
        <w:rPr>
          <w:rFonts w:ascii="Courier New" w:hAnsi="Courier New"/>
        </w:rPr>
        <w:t>label_corrections.csv</w:t>
      </w:r>
      <w:r>
        <w:t xml:space="preserve"> and applied to the analysis matrix by </w:t>
      </w:r>
      <w:r>
        <w:rPr>
          <w:rFonts w:ascii="Courier New" w:hAnsi="Courier New"/>
        </w:rPr>
        <w:t>core.py</w:t>
      </w:r>
      <w:r>
        <w:t>;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0.8 days earlier (2.4 days before operation)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misclassified report that meets neither condition.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w:t>
      </w:r>
      <w:r>
        <w:rPr>
          <w:rFonts w:ascii="Courier New" w:hAnsi="Courier New"/>
        </w:rPr>
        <w:t>Supplement_1_classifier.py</w:t>
      </w:r>
      <w:r>
        <w:t>,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 xml:space="preserve">The comparison is made by </w:t>
      </w:r>
      <w:r>
        <w:rPr>
          <w:rFonts w:ascii="Courier New" w:hAnsi="Courier New"/>
        </w:rPr>
        <w:t>classifier_agreement.py</w:t>
      </w:r>
      <w:r>
        <w:t>, which applies the script to the pooled conclusion of each of the 723 index examination episodes (the same index unit the analysis uses)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in one ultrasound unit the label reflects an earlier examination (Section G). That all 7 are under-calls shows that a conclusion-only rule set of this kind misses positive reports rather than creating false positives,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 xml:space="preserve">Children were retrieved from the institutional clinical research database by matching, case-insensitively, the operative diagnosis field (术中诊断) against </w:t>
      </w:r>
      <w:r>
        <w:rPr>
          <w:rFonts w:ascii="Courier New" w:hAnsi="Courier New"/>
        </w:rPr>
        <w:t>肠旋转不良</w:t>
      </w:r>
      <w:r>
        <w:t xml:space="preserve"> or the procedure-name field (手术名称) against </w:t>
      </w:r>
      <w:r>
        <w:rPr>
          <w:rFonts w:ascii="Courier New" w:hAnsi="Courier New"/>
        </w:rPr>
        <w:t>Ladd</w:t>
      </w:r>
      <w:r>
        <w:t>.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w:t>
      </w:r>
      <w:r>
        <w:rPr>
          <w:rFonts w:ascii="Courier New" w:hAnsi="Courier New"/>
        </w:rPr>
        <w:t>build_review_checklists.py</w:t>
      </w:r>
      <w:r>
        <w:t xml:space="preserve">). The decisions were merged into the analysis by </w:t>
      </w:r>
      <w:r>
        <w:rPr>
          <w:rFonts w:ascii="Courier New" w:hAnsi="Courier New"/>
        </w:rPr>
        <w:t>review_merge.py</w:t>
      </w:r>
      <w:r>
        <w:t xml:space="preserve">, which records them in </w:t>
      </w:r>
      <w:r>
        <w:rPr>
          <w:rFonts w:ascii="Courier New" w:hAnsi="Courier New"/>
        </w:rPr>
        <w:t>review_exclusions.csv</w:t>
      </w:r>
      <w:r>
        <w:t xml:space="preserve"> and </w:t>
      </w:r>
      <w:r>
        <w:rPr>
          <w:rFonts w:ascii="Courier New" w:hAnsi="Courier New"/>
        </w:rPr>
        <w:t>us_manual_coding.csv</w:t>
      </w:r>
      <w:r>
        <w:t xml:space="preserve">; </w:t>
      </w:r>
      <w:r>
        <w:rPr>
          <w:rFonts w:ascii="Courier New" w:hAnsi="Courier New"/>
        </w:rPr>
        <w:t>core.py</w:t>
      </w:r>
      <w:r>
        <w:t xml:space="preserve"> and </w:t>
      </w:r>
      <w:r>
        <w:rPr>
          <w:rFonts w:ascii="Courier New" w:hAnsi="Courier New"/>
        </w:rPr>
        <w:t>usaudit4.py</w:t>
      </w:r>
      <w:r>
        <w:t xml:space="preserve">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 The review was done by one of the authors from a worksheet that also showed the existing detection label of each child's index tests, so it was not blinded to them. Its direction can be checked against those labels: the 15 index examinations of the excluded children included 10 labeled positive (UGI series 6 of 7, CT 4 of 7, ultrasound 0 of 1), so the exclusions lowered rather than raised detection for the UGI series and CT; for ultrasound, keeping the one negative examination would give 64 of 118 (54.2%) rather than 64 of 117 (54.7%).</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by one of the authors, from a worksheet showing each report's date, findings and conclusion.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both authors who had reported none of these examinations,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caliber,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final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Total</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179</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2026-10-15T14:48:33Z</dcterms:created>
  <dcterms:modified xsi:type="dcterms:W3CDTF">2026-10-15T14:48:33Z</dcterms:modified>
  <cp:category/>
  <cp:contentStatus/>
  <dc:identifier/>
  <dc:language/>
  <cp:version/>
</cp:coreProperties>
</file>