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Routine ultrasound reports for intestinal malrotation rarely document duodenal landmarks: an audit of 740 preoperative index examinations in 410 surgically confirmed children</w:t>
      </w:r>
    </w:p>
    <w:p>
      <w:pPr>
        <w:spacing w:after="160"/>
      </w:pPr>
      <w:r>
        <w:t>[Author names, affiliations, and corresponding-author details have been removed for double-blind peer review and are provided on the separate title page.]</w:t>
      </w:r>
    </w:p>
    <w:p>
      <w:pPr>
        <w:spacing w:after="160"/>
      </w:pPr>
      <w:r>
        <w:t>Word count: 2,994 (main text, excluding abstract, key points, figure and table legends, references and declarations); Tables: 4; Figures: 3; Supplementary: 3 Online Resources</w:t>
      </w:r>
    </w:p>
    <w:p>
      <w:pPr>
        <w:pStyle w:val="Heading1"/>
      </w:pPr>
      <w:r>
        <w:t>Abstract</w:t>
      </w:r>
    </w:p>
    <w:p>
      <w:pPr>
        <w:spacing w:after="160"/>
      </w:pPr>
      <w:r>
        <w:rPr>
          <w:b/>
        </w:rPr>
        <w:t>Objectives</w:t>
      </w:r>
      <w:r>
        <w:t xml:space="preserve"> Ultrasound is increasingly advocated as first-line for suspected intestinal malrotation, on the strength of sensitivities of 93–97% obtained under dedicated protocols assessing the third portion of the duodenum (D3) and the mesenteric vessels. We audited what routine reports document, and which documented findings accompany a positive report.</w:t>
      </w:r>
    </w:p>
    <w:p>
      <w:pPr>
        <w:spacing w:after="160"/>
      </w:pPr>
      <w:r>
        <w:rPr>
          <w:b/>
        </w:rPr>
        <w:t>Methods</w:t>
      </w:r>
      <w:r>
        <w:t xml:space="preserve"> Retrospective case-only report audit at one tertiary children's hospital (December 2012–June 2026). For each child and modality the index unit was the preoperative examination episode closest to operation, pooling reports issued the same day. Episodes were classified for malrotation detection by a rule-based algorithm with blinded surgeon adjudication, and separately audited for documented technical content. Because the cohort was assembled on surgically confirmed disease, the outcome is report-level detection among children who received the test; specificity, predictive values and comparative accuracy are not estimable.</w:t>
      </w:r>
    </w:p>
    <w:p>
      <w:pPr>
        <w:spacing w:after="160"/>
      </w:pPr>
      <w:r>
        <w:rPr>
          <w:b/>
        </w:rPr>
        <w:t>Results</w:t>
      </w:r>
      <w:r>
        <w:t xml:space="preserve"> Among 465 children (median age at operation 13 days; volvulus in 86.7%), 410 had at least one index test (740 examinations from 778 reports). Three of 119 ultrasound examinations (2.5%) documented D3 or the duodenojejunal junction, 12 (10.1%) the superior mesenteric artery–vein relationship and 2 (1.7%) enteric fluid administration, whereas a whirlpool sign was reported in 48.7%. Ultrasound named malrotation in 58 of 58 examinations reporting a whirlpool and 7 of 61 without one, but a whirlpool was reported in only 58 of the 113 children whose operation confirmed volvulus. Detection was 78.7% (237/301) for the UGI series, 53.4% (171/320) for CT and 54.6% (65/119) for ultrasound, on non-comparable denominators. Ultrasound detection rose from 41.0% to 61.3% between eras; adjusting for a shift toward sessions including an abdominal great-vessel study halved that difference (+20.2 to +10.3 percentage points), while the examination-type term stayed between 3.1 and 3.9 wherever the era boundary was placed.</w:t>
      </w:r>
    </w:p>
    <w:p>
      <w:pPr>
        <w:spacing w:after="160"/>
      </w:pPr>
      <w:r>
        <w:rPr>
          <w:b/>
        </w:rPr>
        <w:t>Conclusions</w:t>
      </w:r>
      <w:r>
        <w:t xml:space="preserve"> Routine ultrasound functioned as a whirlpool-dependent test for volvulus rather than a protocolised assessment of duodenal position. Whether supplying the missing technical elements would close the gap to published performance cannot be tested here, but the gap coincides with a measurable deficit in what these examinations recorded.</w:t>
      </w:r>
    </w:p>
    <w:p>
      <w:pPr>
        <w:spacing w:after="160"/>
      </w:pPr>
      <w:r>
        <w:rPr>
          <w:b/>
        </w:rPr>
        <w:t>Critical relevance statement</w:t>
      </w:r>
      <w:r>
        <w:t xml:space="preserve"> A department adopting an ultrasound-first pathway on the strength of published sensitivities of 93–97% should first audit whether its own reports document the duodenal landmarks that produced those figures; in this department they almost never did, and a negative ultrasound did not exclude malrotation.</w:t>
      </w:r>
    </w:p>
    <w:p>
      <w:pPr>
        <w:spacing w:after="160"/>
      </w:pPr>
      <w:r>
        <w:rPr>
          <w:b/>
        </w:rPr>
        <w:t>Keywords:</w:t>
      </w:r>
      <w:r>
        <w:t xml:space="preserve"> Intestinal malrotation; Intestinal volvulus; Infant, Newborn; Ultrasonography; Radiology report; Quality improvement</w:t>
      </w:r>
    </w:p>
    <w:p>
      <w:pPr>
        <w:pStyle w:val="Heading1"/>
      </w:pPr>
      <w:r>
        <w:t>Key Points</w:t>
      </w:r>
    </w:p>
    <w:p>
      <w:pPr>
        <w:spacing w:after="160"/>
      </w:pPr>
      <w:r>
        <w:t>• Duodenal landmarks appeared in three of 119 routine ultrasound examinations.</w:t>
      </w:r>
    </w:p>
    <w:p>
      <w:pPr>
        <w:spacing w:after="160"/>
      </w:pPr>
      <w:r>
        <w:t>• Ultrasound named the diagnosis almost only when a whirlpool sign was reported.</w:t>
      </w:r>
    </w:p>
    <w:p>
      <w:pPr>
        <w:spacing w:after="160"/>
      </w:pPr>
      <w:r>
        <w:t>• Improvement over time tracked examination type more closely than calendar era.</w:t>
      </w:r>
    </w:p>
    <w:p>
      <w:pPr>
        <w:pStyle w:val="Heading1"/>
      </w:pPr>
      <w:r>
        <w:t>Introduction</w:t>
      </w:r>
    </w:p>
    <w:p>
      <w:pPr>
        <w:spacing w:after="160"/>
      </w:pPr>
      <w:r>
        <w:t>Intestinal malrotation predisposes to midgut volvulus, which can progress within hours to bowel necrosis, short-bowel syndrome or death [1, 2]. Bilious vomiting in a neonate is a surgical emergency until malrotation with volvulus is excluded, although older children may present atypically and be diagnosed late [3, 4].</w:t>
      </w:r>
    </w:p>
    <w:p>
      <w:pPr>
        <w:spacing w:after="160"/>
      </w:pPr>
      <w:r>
        <w:t>The upper gastrointestinal (UGI) contrast series has long been the reference imaging test, based on the duodenojejunal junction and the course of the proximal small bowel [5, 6, 13], an interpretation with well-described mimics [17]; abdominal CT is not a dedicated test, its mesenteric swirl being neither reliably present nor specific in children [10, 11]. Over the past decade the field has moved toward ultrasound: series report sensitivities of 93–97% under dedicated protocols, a systematic review of 17 studies and 2,257 children estimated a pooled sensitivity of 94% [7–9, 12], and a multicentre study of 539 children investigated for clinical suspicion supported ultrasound as a safe first-line test [19]. That performance is attributed not to ultrasound as a modality but to specific technical elements — the third portion of the duodenum (D3), the duodenojejunal junction, the superior mesenteric artery–vein relationship, enteric fluid and dynamic graded compression [9, 12, 18, 20, 21] — which the same literature records as demanding and not universally achievable, D3 position alone being argued insufficient for diagnosis [22].</w:t>
      </w:r>
    </w:p>
    <w:p>
      <w:pPr>
        <w:spacing w:after="160"/>
      </w:pPr>
      <w:r>
        <w:t>Those studies describe what ultrasound achieves under favourable conditions; what clinicians act on is the routine report issued during unselected care. To our knowledge, no study has examined the content of routine malrotation ultrasound reports at scale, or linked it to whether the diagnosis was named.</w:t>
      </w:r>
    </w:p>
    <w:p>
      <w:pPr>
        <w:spacing w:after="160"/>
      </w:pPr>
      <w:r>
        <w:t>We therefore audited 13.5 years of routine reports at a tertiary children's hospital. Because every child had surgically confirmed malrotation, the study measures how often the disease was named and why — not how accurate the tests are, a constraint that governs every result below.</w:t>
      </w:r>
    </w:p>
    <w:p>
      <w:pPr>
        <w:pStyle w:val="Heading1"/>
      </w:pPr>
      <w:r>
        <w:t>Methods</w:t>
      </w:r>
    </w:p>
    <w:p>
      <w:pPr>
        <w:pStyle w:val="Heading2"/>
      </w:pPr>
      <w:r>
        <w:t>Design, terminology and what this study can and cannot estimate</w:t>
      </w:r>
    </w:p>
    <w:p>
      <w:pPr>
        <w:spacing w:after="160"/>
      </w:pPr>
      <w:r>
        <w:t xml:space="preserve">This was a retrospective, single-centre, case-only report audit approved by the institutional review board with waiver of consent. Reporting follows STROBE [14]; STARD was not used, the design not being a diagnostic accuracy study. The cohort contains no children in whom malrotation was suspected and excluded, which fixes what can be measured. The outcome is the </w:t>
      </w:r>
      <w:r>
        <w:rPr>
          <w:b/>
        </w:rPr>
        <w:t>report-level detection rate among surgically confirmed children who received the test</w:t>
      </w:r>
      <w:r>
        <w:t xml:space="preserve">. We avoid the word "sensitivity": the quantity is a sensitivity only within the indication-selected group that underwent each test, and does not transfer to children investigated for suspicion. Specificity, predictive values and any accuracy-based ranking cannot be estimated at all. We distinguish </w:t>
      </w:r>
      <w:r>
        <w:rPr>
          <w:i/>
        </w:rPr>
        <w:t>malrotation</w:t>
      </w:r>
      <w:r>
        <w:t xml:space="preserve">, </w:t>
      </w:r>
      <w:r>
        <w:rPr>
          <w:i/>
        </w:rPr>
        <w:t>midgut volvulus</w:t>
      </w:r>
      <w:r>
        <w:t xml:space="preserve"> and </w:t>
      </w:r>
      <w:r>
        <w:rPr>
          <w:i/>
        </w:rPr>
        <w:t>malrotation with volvulus</w:t>
      </w:r>
      <w:r>
        <w:t xml:space="preserve"> throughout: the whirlpool sign is a sign of volvulus, not of malrotation in isolation.</w:t>
      </w:r>
    </w:p>
    <w:p>
      <w:pPr>
        <w:pStyle w:val="Heading2"/>
      </w:pPr>
      <w:r>
        <w:t>Participants, reference standard and index tests</w:t>
      </w:r>
    </w:p>
    <w:p>
      <w:pPr>
        <w:spacing w:after="160"/>
      </w:pPr>
      <w:r>
        <w:t>We searched the institutional surgical records database for operations between December 2012 and June 2026 whose operative diagnosis named intestinal malrotation or whose procedure was recorded as a Ladd procedure, and reviewed every retrieved record (search strings in Online Resource 1). Of 559 operative records in 499 children, 503 records in 465 consecutive children met this criterion, the reference standard. Midgut volvulus was defined by an explicit operative statement of torsion or by a documented degree of midgut or mesenteric rotation, with no minimum degree required (see Limitations). No sample-size calculation was performed.</w:t>
      </w:r>
    </w:p>
    <w:p>
      <w:pPr>
        <w:spacing w:after="160"/>
      </w:pPr>
      <w:r>
        <w:t>Three modalities were evaluated: ultrasound (sessions booked as gastrointestinal, abdominal great-vessel or pyloric), abdominal CT and the UGI contrast series; contrast enemas were not counted. For each child and modality the index unit was the examination episode closest to operation, pooling every report of that modality issued that day, because the department routinely issues separate gastrointestinal and great-vessel reports for one ultrasound session: 740 index examinations from 778 reports, with 34 earlier repeat examinations not audited (Fig. 1). The formal indication on each request was not retrievable, so confounding by indication is displayed through each modality group's characteristics (Table 1) rather than adjusted away.</w:t>
      </w:r>
    </w:p>
    <w:p>
      <w:pPr>
        <w:spacing w:after="160"/>
      </w:pPr>
      <w:r>
        <w:t>Examinations were reported during routine care by radiologists unaware of the operative findings but not blinded to clinical history or previous imaging, within the general paediatric ultrasound service rather than by a designated reader group; reports were free text and no structured malrotation template was ever in use. The department reports no change in ultrasound equipment, reporting staff or protocol during the study period, attributing the change in practice from about 2021 to growing awareness of the diagnosis — an account given retrospectively, not recorded at the time.</w:t>
      </w:r>
    </w:p>
    <w:p>
      <w:pPr>
        <w:pStyle w:val="Heading2"/>
      </w:pPr>
      <w:r>
        <w:t>Report-content audit and classification</w:t>
      </w:r>
    </w:p>
    <w:p>
      <w:pPr>
        <w:spacing w:after="160"/>
      </w:pPr>
      <w:r>
        <w:t>Each index unit was coded for documented technical content by text patterns applied to the findings and conclusion sections — for ultrasound, D3 or the duodenojejunal junction, the mesenteric artery–vein relationship and vessel inversion, a whirlpool appearance, enteric fluid administration, dynamic and graded-compression technique, limiting bowel gas, caecal position and bedside performance; for CT and the UGI series, the corresponding landmarks (Online Resource 1). Technique elements count as documented whether the finding was normal or abnormal, since an examination stating that the vessel relationship is normal did assess the vessels; the whirlpool sign, a finding rather than a technique, counts only where not negated. The audit is a lower bound on what was performed.</w:t>
      </w:r>
    </w:p>
    <w:p>
      <w:pPr>
        <w:spacing w:after="160"/>
      </w:pPr>
      <w:r>
        <w:t>An examination was positive when its conclusion named malrotation or midgut volvulus, including tentative phrasing, or described a modality-specific sign of it: for ultrasound a whirlpool or an explicit statement of mesenteric vessel inversion; for the UGI series a corkscrew or spring appearance or a malpositioned duodenojejunal junction; for CT a mesenteric whirl or an abnormal duodenal position. Explicit negation was negative and isolated gastric volvulus was not counted. Because the whirlpool is both an audited element and a positivity criterion, we report how often conclusions named the diagnosis outright. Because tentative phrasing is standard here, we tabulated the certainty tier of every positive conclusion and repeated the analyses with "possible" tiers counted as negative.</w:t>
      </w:r>
    </w:p>
    <w:p>
      <w:pPr>
        <w:spacing w:after="160"/>
      </w:pPr>
      <w:r>
        <w:t>Report text was classified with a rule-based, clause-level algorithm with explicit negation handling [15]; the rule dictionary, negation logic, per-modality label distribution and worked misclassification examples are in Online Resource 1. A paediatric surgeon blinded to the operative findings adjudicated 32 reports: agreement was 92% (Cohen kappa 0.83) in a stratified random sample of 24, and a targeted review of 8 suspected discordances found 5 further under-calls, corrected but excluded from the agreement statistics. All discordances were machine under-calls, so detection rates are conservative; with one adjudicator, interobserver agreement could not be estimated.</w:t>
      </w:r>
    </w:p>
    <w:p>
      <w:pPr>
        <w:pStyle w:val="Heading2"/>
      </w:pPr>
      <w:r>
        <w:t>Statistical analysis</w:t>
      </w:r>
    </w:p>
    <w:p>
      <w:pPr>
        <w:spacing w:after="160"/>
      </w:pPr>
      <w:r>
        <w:t>Detection rates carry Wilson 95% confidence intervals (CIs), with denominators shown wherever a rate appears. All analysis variables were complete. Between-modality comparison used a generalised estimating equation (GEE) logistic model [16] with an exchangeable working correlation, patient-level clustering and cluster-robust standard errors, unadjusted and adjusted for era (2012–2018 vs 2019–2026) and age group. A modality a child did not undergo enters as an unobserved outcome, which is not missing at random here, so these coefficients describe reporting among the children who received each test. A pre-specified modality-by-volvulus interaction was not estimable in the three-modality model, no ultrasound examination being positive among the six children without volvulus; restricted to the UGI series and CT it is estimable, and a Firth penalised estimate of the separated contrast is given in Online Resource 2. In the subgroup receiving all three modalities, detection was compared with Cochran's Q, the exact McNemar test and paired differences with percentile bootstrap CIs (Online Resource 2). The temporal change was examined with modality-specific logistic models of detection on era, before and after adding that modality's content variable, reported as odds ratios and as average marginal effects, because a conditional odds ratio attenuates when a predictive covariate is added even without mediation; the era boundary was varied from 2019 to 2022. Attenuation was read as consistent with the change operating through examination content rather than calendar time, not as a mediation estimate; era-by-content interaction terms were also fitted. P values were not adjusted for multiplicity, and Online Resource 2 lists which analyses were pre-specified and which were decided after inspecting the data. Analyses used Python 3.12 (statsmodels 0.15, SciPy 1.17).</w:t>
      </w:r>
    </w:p>
    <w:p>
      <w:pPr>
        <w:pStyle w:val="Heading1"/>
      </w:pPr>
      <w:r>
        <w:t>Results</w:t>
      </w:r>
    </w:p>
    <w:p>
      <w:pPr>
        <w:pStyle w:val="Heading2"/>
      </w:pPr>
      <w:r>
        <w:t>Cohort and children without an index test</w:t>
      </w:r>
    </w:p>
    <w:p>
      <w:pPr>
        <w:spacing w:after="160"/>
      </w:pPr>
      <w:r>
        <w:t>Of 465 children with surgically confirmed malrotation, 302 (64.9%) were neonates and 403 (86.7%) had midgut volvulus (Table 1). An index examination was available in 301 children for the UGI series, 320 for CT and 119 for ultrasound; 410 had at least one and 59 had all three. The remaining 55 (11.8%) had none of the three, but none was operated on without imaging — the five with no in-hospital study each had imaging documented before transfer — and they were older and less often had volvulus (Fig. 1).</w:t>
      </w:r>
    </w:p>
    <w:p>
      <w:pPr>
        <w:spacing w:after="160"/>
      </w:pPr>
      <w:r>
        <w:rPr>
          <w:b/>
        </w:rPr>
        <w:t>Table 1. Characteristics of the 465 children with surgically confirmed intestinal malrotation, overall and according to which preoperative index test they received</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
              <w:rPr>
                <w:rFonts w:ascii="Times New Roman" w:hAnsi="Times New Roman"/>
                <w:b/>
                <w:sz w:val="17"/>
              </w:rPr>
              <w:t>Characteristic</w:t>
            </w:r>
          </w:p>
        </w:tc>
        <w:tc>
          <w:tcPr>
            <w:tcW w:type="dxa" w:w="1560"/>
          </w:tcPr>
          <w:p>
            <w:r/>
            <w:r>
              <w:rPr>
                <w:rFonts w:ascii="Times New Roman" w:hAnsi="Times New Roman"/>
                <w:b/>
                <w:sz w:val="17"/>
              </w:rPr>
              <w:t>All children</w:t>
            </w:r>
          </w:p>
        </w:tc>
        <w:tc>
          <w:tcPr>
            <w:tcW w:type="dxa" w:w="1560"/>
          </w:tcPr>
          <w:p>
            <w:r/>
            <w:r>
              <w:rPr>
                <w:rFonts w:ascii="Times New Roman" w:hAnsi="Times New Roman"/>
                <w:b/>
                <w:sz w:val="17"/>
              </w:rPr>
              <w:t>Received UGI series</w:t>
            </w:r>
          </w:p>
        </w:tc>
        <w:tc>
          <w:tcPr>
            <w:tcW w:type="dxa" w:w="1560"/>
          </w:tcPr>
          <w:p>
            <w:r/>
            <w:r>
              <w:rPr>
                <w:rFonts w:ascii="Times New Roman" w:hAnsi="Times New Roman"/>
                <w:b/>
                <w:sz w:val="17"/>
              </w:rPr>
              <w:t>Received CT</w:t>
            </w:r>
          </w:p>
        </w:tc>
        <w:tc>
          <w:tcPr>
            <w:tcW w:type="dxa" w:w="1560"/>
          </w:tcPr>
          <w:p>
            <w:r/>
            <w:r>
              <w:rPr>
                <w:rFonts w:ascii="Times New Roman" w:hAnsi="Times New Roman"/>
                <w:b/>
                <w:sz w:val="17"/>
              </w:rPr>
              <w:t>Received ultrasound</w:t>
            </w:r>
          </w:p>
        </w:tc>
        <w:tc>
          <w:tcPr>
            <w:tcW w:type="dxa" w:w="1560"/>
          </w:tcPr>
          <w:p>
            <w:r/>
            <w:r>
              <w:rPr>
                <w:rFonts w:ascii="Times New Roman" w:hAnsi="Times New Roman"/>
                <w:b/>
                <w:sz w:val="17"/>
              </w:rPr>
              <w:t>Received none of the three</w:t>
            </w:r>
          </w:p>
        </w:tc>
      </w:tr>
      <w:tr>
        <w:tc>
          <w:tcPr>
            <w:tcW w:type="dxa" w:w="1560"/>
          </w:tcPr>
          <w:p>
            <w:r/>
            <w:r>
              <w:rPr>
                <w:rFonts w:ascii="Times New Roman" w:hAnsi="Times New Roman"/>
                <w:sz w:val="17"/>
              </w:rPr>
              <w:t>Children, n</w:t>
            </w:r>
          </w:p>
        </w:tc>
        <w:tc>
          <w:tcPr>
            <w:tcW w:type="dxa" w:w="1560"/>
          </w:tcPr>
          <w:p>
            <w:r/>
            <w:r>
              <w:rPr>
                <w:rFonts w:ascii="Times New Roman" w:hAnsi="Times New Roman"/>
                <w:sz w:val="17"/>
              </w:rPr>
              <w:t>465</w:t>
            </w:r>
          </w:p>
        </w:tc>
        <w:tc>
          <w:tcPr>
            <w:tcW w:type="dxa" w:w="1560"/>
          </w:tcPr>
          <w:p>
            <w:r/>
            <w:r>
              <w:rPr>
                <w:rFonts w:ascii="Times New Roman" w:hAnsi="Times New Roman"/>
                <w:sz w:val="17"/>
              </w:rPr>
              <w:t>301</w:t>
            </w:r>
          </w:p>
        </w:tc>
        <w:tc>
          <w:tcPr>
            <w:tcW w:type="dxa" w:w="1560"/>
          </w:tcPr>
          <w:p>
            <w:r/>
            <w:r>
              <w:rPr>
                <w:rFonts w:ascii="Times New Roman" w:hAnsi="Times New Roman"/>
                <w:sz w:val="17"/>
              </w:rPr>
              <w:t>320</w:t>
            </w:r>
          </w:p>
        </w:tc>
        <w:tc>
          <w:tcPr>
            <w:tcW w:type="dxa" w:w="1560"/>
          </w:tcPr>
          <w:p>
            <w:r/>
            <w:r>
              <w:rPr>
                <w:rFonts w:ascii="Times New Roman" w:hAnsi="Times New Roman"/>
                <w:sz w:val="17"/>
              </w:rPr>
              <w:t>119</w:t>
            </w:r>
          </w:p>
        </w:tc>
        <w:tc>
          <w:tcPr>
            <w:tcW w:type="dxa" w:w="1560"/>
          </w:tcPr>
          <w:p>
            <w:r/>
            <w:r>
              <w:rPr>
                <w:rFonts w:ascii="Times New Roman" w:hAnsi="Times New Roman"/>
                <w:sz w:val="17"/>
              </w:rPr>
              <w:t>55</w:t>
            </w:r>
          </w:p>
        </w:tc>
      </w:tr>
      <w:tr>
        <w:tc>
          <w:tcPr>
            <w:tcW w:type="dxa" w:w="1560"/>
          </w:tcPr>
          <w:p>
            <w:r/>
            <w:r>
              <w:rPr>
                <w:rFonts w:ascii="Times New Roman" w:hAnsi="Times New Roman"/>
                <w:sz w:val="17"/>
              </w:rPr>
              <w:t>Age at operation, median (IQR), days</w:t>
            </w:r>
          </w:p>
        </w:tc>
        <w:tc>
          <w:tcPr>
            <w:tcW w:type="dxa" w:w="1560"/>
          </w:tcPr>
          <w:p>
            <w:r/>
            <w:r>
              <w:rPr>
                <w:rFonts w:ascii="Times New Roman" w:hAnsi="Times New Roman"/>
                <w:sz w:val="17"/>
              </w:rPr>
              <w:t>13 (7–85)</w:t>
            </w:r>
          </w:p>
        </w:tc>
        <w:tc>
          <w:tcPr>
            <w:tcW w:type="dxa" w:w="1560"/>
          </w:tcPr>
          <w:p>
            <w:r/>
            <w:r>
              <w:rPr>
                <w:rFonts w:ascii="Times New Roman" w:hAnsi="Times New Roman"/>
                <w:sz w:val="17"/>
              </w:rPr>
              <w:t>12 (8–35)</w:t>
            </w:r>
          </w:p>
        </w:tc>
        <w:tc>
          <w:tcPr>
            <w:tcW w:type="dxa" w:w="1560"/>
          </w:tcPr>
          <w:p>
            <w:r/>
            <w:r>
              <w:rPr>
                <w:rFonts w:ascii="Times New Roman" w:hAnsi="Times New Roman"/>
                <w:sz w:val="17"/>
              </w:rPr>
              <w:t>11 (6–47)</w:t>
            </w:r>
          </w:p>
        </w:tc>
        <w:tc>
          <w:tcPr>
            <w:tcW w:type="dxa" w:w="1560"/>
          </w:tcPr>
          <w:p>
            <w:r/>
            <w:r>
              <w:rPr>
                <w:rFonts w:ascii="Times New Roman" w:hAnsi="Times New Roman"/>
                <w:sz w:val="17"/>
              </w:rPr>
              <w:t>10 (5–27)</w:t>
            </w:r>
          </w:p>
        </w:tc>
        <w:tc>
          <w:tcPr>
            <w:tcW w:type="dxa" w:w="1560"/>
          </w:tcPr>
          <w:p>
            <w:r/>
            <w:r>
              <w:rPr>
                <w:rFonts w:ascii="Times New Roman" w:hAnsi="Times New Roman"/>
                <w:sz w:val="17"/>
              </w:rPr>
              <w:t>63 (4–932)</w:t>
            </w:r>
          </w:p>
        </w:tc>
      </w:tr>
      <w:tr>
        <w:tc>
          <w:tcPr>
            <w:tcW w:type="dxa" w:w="1560"/>
          </w:tcPr>
          <w:p>
            <w:r/>
            <w:r>
              <w:rPr>
                <w:rFonts w:ascii="Times New Roman" w:hAnsi="Times New Roman"/>
                <w:sz w:val="17"/>
              </w:rPr>
              <w:t>Neonate ≤28 days, n (%)</w:t>
            </w:r>
          </w:p>
        </w:tc>
        <w:tc>
          <w:tcPr>
            <w:tcW w:type="dxa" w:w="1560"/>
          </w:tcPr>
          <w:p>
            <w:r/>
            <w:r>
              <w:rPr>
                <w:rFonts w:ascii="Times New Roman" w:hAnsi="Times New Roman"/>
                <w:sz w:val="17"/>
              </w:rPr>
              <w:t>302 (64.9)</w:t>
            </w:r>
          </w:p>
        </w:tc>
        <w:tc>
          <w:tcPr>
            <w:tcW w:type="dxa" w:w="1560"/>
          </w:tcPr>
          <w:p>
            <w:r/>
            <w:r>
              <w:rPr>
                <w:rFonts w:ascii="Times New Roman" w:hAnsi="Times New Roman"/>
                <w:sz w:val="17"/>
              </w:rPr>
              <w:t>216 (71.8)</w:t>
            </w:r>
          </w:p>
        </w:tc>
        <w:tc>
          <w:tcPr>
            <w:tcW w:type="dxa" w:w="1560"/>
          </w:tcPr>
          <w:p>
            <w:r/>
            <w:r>
              <w:rPr>
                <w:rFonts w:ascii="Times New Roman" w:hAnsi="Times New Roman"/>
                <w:sz w:val="17"/>
              </w:rPr>
              <w:t>222 (69.4)</w:t>
            </w:r>
          </w:p>
        </w:tc>
        <w:tc>
          <w:tcPr>
            <w:tcW w:type="dxa" w:w="1560"/>
          </w:tcPr>
          <w:p>
            <w:r/>
            <w:r>
              <w:rPr>
                <w:rFonts w:ascii="Times New Roman" w:hAnsi="Times New Roman"/>
                <w:sz w:val="17"/>
              </w:rPr>
              <w:t>90 (75.6)</w:t>
            </w:r>
          </w:p>
        </w:tc>
        <w:tc>
          <w:tcPr>
            <w:tcW w:type="dxa" w:w="1560"/>
          </w:tcPr>
          <w:p>
            <w:r/>
            <w:r>
              <w:rPr>
                <w:rFonts w:ascii="Times New Roman" w:hAnsi="Times New Roman"/>
                <w:sz w:val="17"/>
              </w:rPr>
              <w:t>23 (41.8)</w:t>
            </w:r>
          </w:p>
        </w:tc>
      </w:tr>
      <w:tr>
        <w:tc>
          <w:tcPr>
            <w:tcW w:type="dxa" w:w="1560"/>
          </w:tcPr>
          <w:p>
            <w:r/>
            <w:r>
              <w:rPr>
                <w:rFonts w:ascii="Times New Roman" w:hAnsi="Times New Roman"/>
                <w:sz w:val="17"/>
              </w:rPr>
              <w:t>Age &gt;1 year, n (%)</w:t>
            </w:r>
          </w:p>
        </w:tc>
        <w:tc>
          <w:tcPr>
            <w:tcW w:type="dxa" w:w="1560"/>
          </w:tcPr>
          <w:p>
            <w:r/>
            <w:r>
              <w:rPr>
                <w:rFonts w:ascii="Times New Roman" w:hAnsi="Times New Roman"/>
                <w:sz w:val="17"/>
              </w:rPr>
              <w:t>93 (20.0)</w:t>
            </w:r>
          </w:p>
        </w:tc>
        <w:tc>
          <w:tcPr>
            <w:tcW w:type="dxa" w:w="1560"/>
          </w:tcPr>
          <w:p>
            <w:r/>
            <w:r>
              <w:rPr>
                <w:rFonts w:ascii="Times New Roman" w:hAnsi="Times New Roman"/>
                <w:sz w:val="17"/>
              </w:rPr>
              <w:t>45 (15.0)</w:t>
            </w:r>
          </w:p>
        </w:tc>
        <w:tc>
          <w:tcPr>
            <w:tcW w:type="dxa" w:w="1560"/>
          </w:tcPr>
          <w:p>
            <w:r/>
            <w:r>
              <w:rPr>
                <w:rFonts w:ascii="Times New Roman" w:hAnsi="Times New Roman"/>
                <w:sz w:val="17"/>
              </w:rPr>
              <w:t>54 (16.9)</w:t>
            </w:r>
          </w:p>
        </w:tc>
        <w:tc>
          <w:tcPr>
            <w:tcW w:type="dxa" w:w="1560"/>
          </w:tcPr>
          <w:p>
            <w:r/>
            <w:r>
              <w:rPr>
                <w:rFonts w:ascii="Times New Roman" w:hAnsi="Times New Roman"/>
                <w:sz w:val="17"/>
              </w:rPr>
              <w:t>15 (12.6)</w:t>
            </w:r>
          </w:p>
        </w:tc>
        <w:tc>
          <w:tcPr>
            <w:tcW w:type="dxa" w:w="1560"/>
          </w:tcPr>
          <w:p>
            <w:r/>
            <w:r>
              <w:rPr>
                <w:rFonts w:ascii="Times New Roman" w:hAnsi="Times New Roman"/>
                <w:sz w:val="17"/>
              </w:rPr>
              <w:t>16 (29.1)</w:t>
            </w:r>
          </w:p>
        </w:tc>
      </w:tr>
      <w:tr>
        <w:tc>
          <w:tcPr>
            <w:tcW w:type="dxa" w:w="1560"/>
          </w:tcPr>
          <w:p>
            <w:r/>
            <w:r>
              <w:rPr>
                <w:rFonts w:ascii="Times New Roman" w:hAnsi="Times New Roman"/>
                <w:sz w:val="17"/>
              </w:rPr>
              <w:t>Male, n (%)</w:t>
            </w:r>
          </w:p>
        </w:tc>
        <w:tc>
          <w:tcPr>
            <w:tcW w:type="dxa" w:w="1560"/>
          </w:tcPr>
          <w:p>
            <w:r/>
            <w:r>
              <w:rPr>
                <w:rFonts w:ascii="Times New Roman" w:hAnsi="Times New Roman"/>
                <w:sz w:val="17"/>
              </w:rPr>
              <w:t>352 (75.7)</w:t>
            </w:r>
          </w:p>
        </w:tc>
        <w:tc>
          <w:tcPr>
            <w:tcW w:type="dxa" w:w="1560"/>
          </w:tcPr>
          <w:p>
            <w:r/>
            <w:r>
              <w:rPr>
                <w:rFonts w:ascii="Times New Roman" w:hAnsi="Times New Roman"/>
                <w:sz w:val="17"/>
              </w:rPr>
              <w:t>226 (75.1)</w:t>
            </w:r>
          </w:p>
        </w:tc>
        <w:tc>
          <w:tcPr>
            <w:tcW w:type="dxa" w:w="1560"/>
          </w:tcPr>
          <w:p>
            <w:r/>
            <w:r>
              <w:rPr>
                <w:rFonts w:ascii="Times New Roman" w:hAnsi="Times New Roman"/>
                <w:sz w:val="17"/>
              </w:rPr>
              <w:t>250 (78.1)</w:t>
            </w:r>
          </w:p>
        </w:tc>
        <w:tc>
          <w:tcPr>
            <w:tcW w:type="dxa" w:w="1560"/>
          </w:tcPr>
          <w:p>
            <w:r/>
            <w:r>
              <w:rPr>
                <w:rFonts w:ascii="Times New Roman" w:hAnsi="Times New Roman"/>
                <w:sz w:val="17"/>
              </w:rPr>
              <w:t>94 (79.0)</w:t>
            </w:r>
          </w:p>
        </w:tc>
        <w:tc>
          <w:tcPr>
            <w:tcW w:type="dxa" w:w="1560"/>
          </w:tcPr>
          <w:p>
            <w:r/>
            <w:r>
              <w:rPr>
                <w:rFonts w:ascii="Times New Roman" w:hAnsi="Times New Roman"/>
                <w:sz w:val="17"/>
              </w:rPr>
              <w:t>39 (70.9)</w:t>
            </w:r>
          </w:p>
        </w:tc>
      </w:tr>
      <w:tr>
        <w:tc>
          <w:tcPr>
            <w:tcW w:type="dxa" w:w="1560"/>
          </w:tcPr>
          <w:p>
            <w:r/>
            <w:r>
              <w:rPr>
                <w:rFonts w:ascii="Times New Roman" w:hAnsi="Times New Roman"/>
                <w:sz w:val="17"/>
              </w:rPr>
              <w:t>Operated 2019–2026, n (%)</w:t>
            </w:r>
          </w:p>
        </w:tc>
        <w:tc>
          <w:tcPr>
            <w:tcW w:type="dxa" w:w="1560"/>
          </w:tcPr>
          <w:p>
            <w:r/>
            <w:r>
              <w:rPr>
                <w:rFonts w:ascii="Times New Roman" w:hAnsi="Times New Roman"/>
                <w:sz w:val="17"/>
              </w:rPr>
              <w:t>166 (35.7)</w:t>
            </w:r>
          </w:p>
        </w:tc>
        <w:tc>
          <w:tcPr>
            <w:tcW w:type="dxa" w:w="1560"/>
          </w:tcPr>
          <w:p>
            <w:r/>
            <w:r>
              <w:rPr>
                <w:rFonts w:ascii="Times New Roman" w:hAnsi="Times New Roman"/>
                <w:sz w:val="17"/>
              </w:rPr>
              <w:t>96 (31.9)</w:t>
            </w:r>
          </w:p>
        </w:tc>
        <w:tc>
          <w:tcPr>
            <w:tcW w:type="dxa" w:w="1560"/>
          </w:tcPr>
          <w:p>
            <w:r/>
            <w:r>
              <w:rPr>
                <w:rFonts w:ascii="Times New Roman" w:hAnsi="Times New Roman"/>
                <w:sz w:val="17"/>
              </w:rPr>
              <w:t>105 (32.8)</w:t>
            </w:r>
          </w:p>
        </w:tc>
        <w:tc>
          <w:tcPr>
            <w:tcW w:type="dxa" w:w="1560"/>
          </w:tcPr>
          <w:p>
            <w:r/>
            <w:r>
              <w:rPr>
                <w:rFonts w:ascii="Times New Roman" w:hAnsi="Times New Roman"/>
                <w:sz w:val="17"/>
              </w:rPr>
              <w:t>80 (67.2)</w:t>
            </w:r>
          </w:p>
        </w:tc>
        <w:tc>
          <w:tcPr>
            <w:tcW w:type="dxa" w:w="1560"/>
          </w:tcPr>
          <w:p>
            <w:r/>
            <w:r>
              <w:rPr>
                <w:rFonts w:ascii="Times New Roman" w:hAnsi="Times New Roman"/>
                <w:sz w:val="17"/>
              </w:rPr>
              <w:t>19 (34.5)</w:t>
            </w:r>
          </w:p>
        </w:tc>
      </w:tr>
      <w:tr>
        <w:tc>
          <w:tcPr>
            <w:tcW w:type="dxa" w:w="1560"/>
          </w:tcPr>
          <w:p>
            <w:r/>
            <w:r>
              <w:rPr>
                <w:rFonts w:ascii="Times New Roman" w:hAnsi="Times New Roman"/>
                <w:sz w:val="17"/>
              </w:rPr>
              <w:t>Midgut volvulus at operation, n (%)</w:t>
            </w:r>
          </w:p>
        </w:tc>
        <w:tc>
          <w:tcPr>
            <w:tcW w:type="dxa" w:w="1560"/>
          </w:tcPr>
          <w:p>
            <w:r/>
            <w:r>
              <w:rPr>
                <w:rFonts w:ascii="Times New Roman" w:hAnsi="Times New Roman"/>
                <w:sz w:val="17"/>
              </w:rPr>
              <w:t>403 (86.7)</w:t>
            </w:r>
          </w:p>
        </w:tc>
        <w:tc>
          <w:tcPr>
            <w:tcW w:type="dxa" w:w="1560"/>
          </w:tcPr>
          <w:p>
            <w:r/>
            <w:r>
              <w:rPr>
                <w:rFonts w:ascii="Times New Roman" w:hAnsi="Times New Roman"/>
                <w:sz w:val="17"/>
              </w:rPr>
              <w:t>268 (89.0)</w:t>
            </w:r>
          </w:p>
        </w:tc>
        <w:tc>
          <w:tcPr>
            <w:tcW w:type="dxa" w:w="1560"/>
          </w:tcPr>
          <w:p>
            <w:r/>
            <w:r>
              <w:rPr>
                <w:rFonts w:ascii="Times New Roman" w:hAnsi="Times New Roman"/>
                <w:sz w:val="17"/>
              </w:rPr>
              <w:t>281 (87.8)</w:t>
            </w:r>
          </w:p>
        </w:tc>
        <w:tc>
          <w:tcPr>
            <w:tcW w:type="dxa" w:w="1560"/>
          </w:tcPr>
          <w:p>
            <w:r/>
            <w:r>
              <w:rPr>
                <w:rFonts w:ascii="Times New Roman" w:hAnsi="Times New Roman"/>
                <w:sz w:val="17"/>
              </w:rPr>
              <w:t>113 (95.0)</w:t>
            </w:r>
          </w:p>
        </w:tc>
        <w:tc>
          <w:tcPr>
            <w:tcW w:type="dxa" w:w="1560"/>
          </w:tcPr>
          <w:p>
            <w:r/>
            <w:r>
              <w:rPr>
                <w:rFonts w:ascii="Times New Roman" w:hAnsi="Times New Roman"/>
                <w:sz w:val="17"/>
              </w:rPr>
              <w:t>42 (76.4)</w:t>
            </w:r>
          </w:p>
        </w:tc>
      </w:tr>
      <w:tr>
        <w:tc>
          <w:tcPr>
            <w:tcW w:type="dxa" w:w="1560"/>
          </w:tcPr>
          <w:p>
            <w:r/>
            <w:r>
              <w:rPr>
                <w:rFonts w:ascii="Times New Roman" w:hAnsi="Times New Roman"/>
                <w:sz w:val="17"/>
              </w:rPr>
              <w:t>Vomiting documented, n (%)</w:t>
            </w:r>
          </w:p>
        </w:tc>
        <w:tc>
          <w:tcPr>
            <w:tcW w:type="dxa" w:w="1560"/>
          </w:tcPr>
          <w:p>
            <w:r/>
            <w:r>
              <w:rPr>
                <w:rFonts w:ascii="Times New Roman" w:hAnsi="Times New Roman"/>
                <w:sz w:val="17"/>
              </w:rPr>
              <w:t>441 (94.8)</w:t>
            </w:r>
          </w:p>
        </w:tc>
        <w:tc>
          <w:tcPr>
            <w:tcW w:type="dxa" w:w="1560"/>
          </w:tcPr>
          <w:p>
            <w:r/>
            <w:r>
              <w:rPr>
                <w:rFonts w:ascii="Times New Roman" w:hAnsi="Times New Roman"/>
                <w:sz w:val="17"/>
              </w:rPr>
              <w:t>288 (95.7)</w:t>
            </w:r>
          </w:p>
        </w:tc>
        <w:tc>
          <w:tcPr>
            <w:tcW w:type="dxa" w:w="1560"/>
          </w:tcPr>
          <w:p>
            <w:r/>
            <w:r>
              <w:rPr>
                <w:rFonts w:ascii="Times New Roman" w:hAnsi="Times New Roman"/>
                <w:sz w:val="17"/>
              </w:rPr>
              <w:t>308 (96.2)</w:t>
            </w:r>
          </w:p>
        </w:tc>
        <w:tc>
          <w:tcPr>
            <w:tcW w:type="dxa" w:w="1560"/>
          </w:tcPr>
          <w:p>
            <w:r/>
            <w:r>
              <w:rPr>
                <w:rFonts w:ascii="Times New Roman" w:hAnsi="Times New Roman"/>
                <w:sz w:val="17"/>
              </w:rPr>
              <w:t>113 (95.0)</w:t>
            </w:r>
          </w:p>
        </w:tc>
        <w:tc>
          <w:tcPr>
            <w:tcW w:type="dxa" w:w="1560"/>
          </w:tcPr>
          <w:p>
            <w:r/>
            <w:r>
              <w:rPr>
                <w:rFonts w:ascii="Times New Roman" w:hAnsi="Times New Roman"/>
                <w:sz w:val="17"/>
              </w:rPr>
              <w:t>50 (90.9)</w:t>
            </w:r>
          </w:p>
        </w:tc>
      </w:tr>
      <w:tr>
        <w:tc>
          <w:tcPr>
            <w:tcW w:type="dxa" w:w="1560"/>
          </w:tcPr>
          <w:p>
            <w:r/>
            <w:r>
              <w:rPr>
                <w:rFonts w:ascii="Times New Roman" w:hAnsi="Times New Roman"/>
                <w:sz w:val="17"/>
              </w:rPr>
              <w:t>Bilious vomiting documented, n (%)</w:t>
            </w:r>
          </w:p>
        </w:tc>
        <w:tc>
          <w:tcPr>
            <w:tcW w:type="dxa" w:w="1560"/>
          </w:tcPr>
          <w:p>
            <w:r/>
            <w:r>
              <w:rPr>
                <w:rFonts w:ascii="Times New Roman" w:hAnsi="Times New Roman"/>
                <w:sz w:val="17"/>
              </w:rPr>
              <w:t>219 (47.1)</w:t>
            </w:r>
          </w:p>
        </w:tc>
        <w:tc>
          <w:tcPr>
            <w:tcW w:type="dxa" w:w="1560"/>
          </w:tcPr>
          <w:p>
            <w:r/>
            <w:r>
              <w:rPr>
                <w:rFonts w:ascii="Times New Roman" w:hAnsi="Times New Roman"/>
                <w:sz w:val="17"/>
              </w:rPr>
              <w:t>166 (55.1)</w:t>
            </w:r>
          </w:p>
        </w:tc>
        <w:tc>
          <w:tcPr>
            <w:tcW w:type="dxa" w:w="1560"/>
          </w:tcPr>
          <w:p>
            <w:r/>
            <w:r>
              <w:rPr>
                <w:rFonts w:ascii="Times New Roman" w:hAnsi="Times New Roman"/>
                <w:sz w:val="17"/>
              </w:rPr>
              <w:t>165 (51.6)</w:t>
            </w:r>
          </w:p>
        </w:tc>
        <w:tc>
          <w:tcPr>
            <w:tcW w:type="dxa" w:w="1560"/>
          </w:tcPr>
          <w:p>
            <w:r/>
            <w:r>
              <w:rPr>
                <w:rFonts w:ascii="Times New Roman" w:hAnsi="Times New Roman"/>
                <w:sz w:val="17"/>
              </w:rPr>
              <w:t>58 (48.7)</w:t>
            </w:r>
          </w:p>
        </w:tc>
        <w:tc>
          <w:tcPr>
            <w:tcW w:type="dxa" w:w="1560"/>
          </w:tcPr>
          <w:p>
            <w:r/>
            <w:r>
              <w:rPr>
                <w:rFonts w:ascii="Times New Roman" w:hAnsi="Times New Roman"/>
                <w:sz w:val="17"/>
              </w:rPr>
              <w:t>12 (21.8)</w:t>
            </w:r>
          </w:p>
        </w:tc>
      </w:tr>
      <w:tr>
        <w:tc>
          <w:tcPr>
            <w:tcW w:type="dxa" w:w="1560"/>
          </w:tcPr>
          <w:p>
            <w:r/>
            <w:r>
              <w:rPr>
                <w:rFonts w:ascii="Times New Roman" w:hAnsi="Times New Roman"/>
                <w:sz w:val="17"/>
              </w:rPr>
              <w:t>Abdominal distension, n (%)</w:t>
            </w:r>
          </w:p>
        </w:tc>
        <w:tc>
          <w:tcPr>
            <w:tcW w:type="dxa" w:w="1560"/>
          </w:tcPr>
          <w:p>
            <w:r/>
            <w:r>
              <w:rPr>
                <w:rFonts w:ascii="Times New Roman" w:hAnsi="Times New Roman"/>
                <w:sz w:val="17"/>
              </w:rPr>
              <w:t>183 (39.4)</w:t>
            </w:r>
          </w:p>
        </w:tc>
        <w:tc>
          <w:tcPr>
            <w:tcW w:type="dxa" w:w="1560"/>
          </w:tcPr>
          <w:p>
            <w:r/>
            <w:r>
              <w:rPr>
                <w:rFonts w:ascii="Times New Roman" w:hAnsi="Times New Roman"/>
                <w:sz w:val="17"/>
              </w:rPr>
              <w:t>119 (39.5)</w:t>
            </w:r>
          </w:p>
        </w:tc>
        <w:tc>
          <w:tcPr>
            <w:tcW w:type="dxa" w:w="1560"/>
          </w:tcPr>
          <w:p>
            <w:r/>
            <w:r>
              <w:rPr>
                <w:rFonts w:ascii="Times New Roman" w:hAnsi="Times New Roman"/>
                <w:sz w:val="17"/>
              </w:rPr>
              <w:t>137 (42.8)</w:t>
            </w:r>
          </w:p>
        </w:tc>
        <w:tc>
          <w:tcPr>
            <w:tcW w:type="dxa" w:w="1560"/>
          </w:tcPr>
          <w:p>
            <w:r/>
            <w:r>
              <w:rPr>
                <w:rFonts w:ascii="Times New Roman" w:hAnsi="Times New Roman"/>
                <w:sz w:val="17"/>
              </w:rPr>
              <w:t>57 (47.9)</w:t>
            </w:r>
          </w:p>
        </w:tc>
        <w:tc>
          <w:tcPr>
            <w:tcW w:type="dxa" w:w="1560"/>
          </w:tcPr>
          <w:p>
            <w:r/>
            <w:r>
              <w:rPr>
                <w:rFonts w:ascii="Times New Roman" w:hAnsi="Times New Roman"/>
                <w:sz w:val="17"/>
              </w:rPr>
              <w:t>24 (43.6)</w:t>
            </w:r>
          </w:p>
        </w:tc>
      </w:tr>
      <w:tr>
        <w:tc>
          <w:tcPr>
            <w:tcW w:type="dxa" w:w="1560"/>
          </w:tcPr>
          <w:p>
            <w:r/>
            <w:r>
              <w:rPr>
                <w:rFonts w:ascii="Times New Roman" w:hAnsi="Times New Roman"/>
                <w:sz w:val="17"/>
              </w:rPr>
              <w:t>Blood in stool, n (%)</w:t>
            </w:r>
          </w:p>
        </w:tc>
        <w:tc>
          <w:tcPr>
            <w:tcW w:type="dxa" w:w="1560"/>
          </w:tcPr>
          <w:p>
            <w:r/>
            <w:r>
              <w:rPr>
                <w:rFonts w:ascii="Times New Roman" w:hAnsi="Times New Roman"/>
                <w:sz w:val="17"/>
              </w:rPr>
              <w:t>113 (24.3)</w:t>
            </w:r>
          </w:p>
        </w:tc>
        <w:tc>
          <w:tcPr>
            <w:tcW w:type="dxa" w:w="1560"/>
          </w:tcPr>
          <w:p>
            <w:r/>
            <w:r>
              <w:rPr>
                <w:rFonts w:ascii="Times New Roman" w:hAnsi="Times New Roman"/>
                <w:sz w:val="17"/>
              </w:rPr>
              <w:t>64 (21.3)</w:t>
            </w:r>
          </w:p>
        </w:tc>
        <w:tc>
          <w:tcPr>
            <w:tcW w:type="dxa" w:w="1560"/>
          </w:tcPr>
          <w:p>
            <w:r/>
            <w:r>
              <w:rPr>
                <w:rFonts w:ascii="Times New Roman" w:hAnsi="Times New Roman"/>
                <w:sz w:val="17"/>
              </w:rPr>
              <w:t>88 (27.5)</w:t>
            </w:r>
          </w:p>
        </w:tc>
        <w:tc>
          <w:tcPr>
            <w:tcW w:type="dxa" w:w="1560"/>
          </w:tcPr>
          <w:p>
            <w:r/>
            <w:r>
              <w:rPr>
                <w:rFonts w:ascii="Times New Roman" w:hAnsi="Times New Roman"/>
                <w:sz w:val="17"/>
              </w:rPr>
              <w:t>32 (26.9)</w:t>
            </w:r>
          </w:p>
        </w:tc>
        <w:tc>
          <w:tcPr>
            <w:tcW w:type="dxa" w:w="1560"/>
          </w:tcPr>
          <w:p>
            <w:r/>
            <w:r>
              <w:rPr>
                <w:rFonts w:ascii="Times New Roman" w:hAnsi="Times New Roman"/>
                <w:sz w:val="17"/>
              </w:rPr>
              <w:t>11 (20.0)</w:t>
            </w:r>
          </w:p>
        </w:tc>
      </w:tr>
      <w:tr>
        <w:tc>
          <w:tcPr>
            <w:tcW w:type="dxa" w:w="1560"/>
          </w:tcPr>
          <w:p>
            <w:r/>
            <w:r>
              <w:rPr>
                <w:rFonts w:ascii="Times New Roman" w:hAnsi="Times New Roman"/>
                <w:sz w:val="17"/>
              </w:rPr>
              <w:t>Abdominal pain, n (%)</w:t>
            </w:r>
          </w:p>
        </w:tc>
        <w:tc>
          <w:tcPr>
            <w:tcW w:type="dxa" w:w="1560"/>
          </w:tcPr>
          <w:p>
            <w:r/>
            <w:r>
              <w:rPr>
                <w:rFonts w:ascii="Times New Roman" w:hAnsi="Times New Roman"/>
                <w:sz w:val="17"/>
              </w:rPr>
              <w:t>72 (15.5)</w:t>
            </w:r>
          </w:p>
        </w:tc>
        <w:tc>
          <w:tcPr>
            <w:tcW w:type="dxa" w:w="1560"/>
          </w:tcPr>
          <w:p>
            <w:r/>
            <w:r>
              <w:rPr>
                <w:rFonts w:ascii="Times New Roman" w:hAnsi="Times New Roman"/>
                <w:sz w:val="17"/>
              </w:rPr>
              <w:t>33 (11.0)</w:t>
            </w:r>
          </w:p>
        </w:tc>
        <w:tc>
          <w:tcPr>
            <w:tcW w:type="dxa" w:w="1560"/>
          </w:tcPr>
          <w:p>
            <w:r/>
            <w:r>
              <w:rPr>
                <w:rFonts w:ascii="Times New Roman" w:hAnsi="Times New Roman"/>
                <w:sz w:val="17"/>
              </w:rPr>
              <w:t>46 (14.4)</w:t>
            </w:r>
          </w:p>
        </w:tc>
        <w:tc>
          <w:tcPr>
            <w:tcW w:type="dxa" w:w="1560"/>
          </w:tcPr>
          <w:p>
            <w:r/>
            <w:r>
              <w:rPr>
                <w:rFonts w:ascii="Times New Roman" w:hAnsi="Times New Roman"/>
                <w:sz w:val="17"/>
              </w:rPr>
              <w:t>10 (8.4)</w:t>
            </w:r>
          </w:p>
        </w:tc>
        <w:tc>
          <w:tcPr>
            <w:tcW w:type="dxa" w:w="1560"/>
          </w:tcPr>
          <w:p>
            <w:r/>
            <w:r>
              <w:rPr>
                <w:rFonts w:ascii="Times New Roman" w:hAnsi="Times New Roman"/>
                <w:sz w:val="17"/>
              </w:rPr>
              <w:t>13 (23.6)</w:t>
            </w:r>
          </w:p>
        </w:tc>
      </w:tr>
      <w:tr>
        <w:tc>
          <w:tcPr>
            <w:tcW w:type="dxa" w:w="1560"/>
          </w:tcPr>
          <w:p>
            <w:r/>
            <w:r>
              <w:rPr>
                <w:rFonts w:ascii="Times New Roman" w:hAnsi="Times New Roman"/>
                <w:sz w:val="17"/>
              </w:rPr>
              <w:t>Recurrent/intermittent symptoms, n (%)</w:t>
            </w:r>
          </w:p>
        </w:tc>
        <w:tc>
          <w:tcPr>
            <w:tcW w:type="dxa" w:w="1560"/>
          </w:tcPr>
          <w:p>
            <w:r/>
            <w:r>
              <w:rPr>
                <w:rFonts w:ascii="Times New Roman" w:hAnsi="Times New Roman"/>
                <w:sz w:val="17"/>
              </w:rPr>
              <w:t>221 (47.5)</w:t>
            </w:r>
          </w:p>
        </w:tc>
        <w:tc>
          <w:tcPr>
            <w:tcW w:type="dxa" w:w="1560"/>
          </w:tcPr>
          <w:p>
            <w:r/>
            <w:r>
              <w:rPr>
                <w:rFonts w:ascii="Times New Roman" w:hAnsi="Times New Roman"/>
                <w:sz w:val="17"/>
              </w:rPr>
              <w:t>152 (50.5)</w:t>
            </w:r>
          </w:p>
        </w:tc>
        <w:tc>
          <w:tcPr>
            <w:tcW w:type="dxa" w:w="1560"/>
          </w:tcPr>
          <w:p>
            <w:r/>
            <w:r>
              <w:rPr>
                <w:rFonts w:ascii="Times New Roman" w:hAnsi="Times New Roman"/>
                <w:sz w:val="17"/>
              </w:rPr>
              <w:t>148 (46.2)</w:t>
            </w:r>
          </w:p>
        </w:tc>
        <w:tc>
          <w:tcPr>
            <w:tcW w:type="dxa" w:w="1560"/>
          </w:tcPr>
          <w:p>
            <w:r/>
            <w:r>
              <w:rPr>
                <w:rFonts w:ascii="Times New Roman" w:hAnsi="Times New Roman"/>
                <w:sz w:val="17"/>
              </w:rPr>
              <w:t>53 (44.5)</w:t>
            </w:r>
          </w:p>
        </w:tc>
        <w:tc>
          <w:tcPr>
            <w:tcW w:type="dxa" w:w="1560"/>
          </w:tcPr>
          <w:p>
            <w:r/>
            <w:r>
              <w:rPr>
                <w:rFonts w:ascii="Times New Roman" w:hAnsi="Times New Roman"/>
                <w:sz w:val="17"/>
              </w:rPr>
              <w:t>21 (38.2)</w:t>
            </w:r>
          </w:p>
        </w:tc>
      </w:tr>
      <w:tr>
        <w:tc>
          <w:tcPr>
            <w:tcW w:type="dxa" w:w="1560"/>
          </w:tcPr>
          <w:p>
            <w:r/>
            <w:r>
              <w:rPr>
                <w:rFonts w:ascii="Times New Roman" w:hAnsi="Times New Roman"/>
                <w:sz w:val="17"/>
              </w:rPr>
              <w:t>Shock or poor perfusion, n (%)</w:t>
            </w:r>
          </w:p>
        </w:tc>
        <w:tc>
          <w:tcPr>
            <w:tcW w:type="dxa" w:w="1560"/>
          </w:tcPr>
          <w:p>
            <w:r/>
            <w:r>
              <w:rPr>
                <w:rFonts w:ascii="Times New Roman" w:hAnsi="Times New Roman"/>
                <w:sz w:val="17"/>
              </w:rPr>
              <w:t>11 (2.4)</w:t>
            </w:r>
          </w:p>
        </w:tc>
        <w:tc>
          <w:tcPr>
            <w:tcW w:type="dxa" w:w="1560"/>
          </w:tcPr>
          <w:p>
            <w:r/>
            <w:r>
              <w:rPr>
                <w:rFonts w:ascii="Times New Roman" w:hAnsi="Times New Roman"/>
                <w:sz w:val="17"/>
              </w:rPr>
              <w:t>3 (1.0)</w:t>
            </w:r>
          </w:p>
        </w:tc>
        <w:tc>
          <w:tcPr>
            <w:tcW w:type="dxa" w:w="1560"/>
          </w:tcPr>
          <w:p>
            <w:r/>
            <w:r>
              <w:rPr>
                <w:rFonts w:ascii="Times New Roman" w:hAnsi="Times New Roman"/>
                <w:sz w:val="17"/>
              </w:rPr>
              <w:t>6 (1.9)</w:t>
            </w:r>
          </w:p>
        </w:tc>
        <w:tc>
          <w:tcPr>
            <w:tcW w:type="dxa" w:w="1560"/>
          </w:tcPr>
          <w:p>
            <w:r/>
            <w:r>
              <w:rPr>
                <w:rFonts w:ascii="Times New Roman" w:hAnsi="Times New Roman"/>
                <w:sz w:val="17"/>
              </w:rPr>
              <w:t>3 (2.5)</w:t>
            </w:r>
          </w:p>
        </w:tc>
        <w:tc>
          <w:tcPr>
            <w:tcW w:type="dxa" w:w="1560"/>
          </w:tcPr>
          <w:p>
            <w:r/>
            <w:r>
              <w:rPr>
                <w:rFonts w:ascii="Times New Roman" w:hAnsi="Times New Roman"/>
                <w:sz w:val="17"/>
              </w:rPr>
              <w:t>4 (7.3)</w:t>
            </w:r>
          </w:p>
        </w:tc>
      </w:tr>
    </w:tbl>
    <w:p>
      <w:pPr>
        <w:spacing w:after="160"/>
      </w:pPr>
      <w:r>
        <w:rPr>
          <w:i/>
          <w:sz w:val="17"/>
        </w:rPr>
        <w:t>Groups overlap, because a child could receive more than one index test; columns therefore do not sum to the cohort total. Age at operation was calculated as age at admission for the operative encounter plus the interval from admission to operation. Presenting features were extracted from admission records by text search and are documentation rates, not verified prevalences. The rightmost column shows the 55 children who received none of the three index tests; all of them nonetheless had other preoperative imaging (Fig. 1). IQR interquartile range, UGI upper gastrointestinal.</w:t>
      </w:r>
    </w:p>
    <w:p>
      <w:pPr>
        <w:jc w:val="center"/>
      </w:pPr>
      <w:r>
        <w:drawing>
          <wp:inline xmlns:a="http://schemas.openxmlformats.org/drawingml/2006/main" xmlns:pic="http://schemas.openxmlformats.org/drawingml/2006/picture">
            <wp:extent cx="5852160" cy="4554188"/>
            <wp:docPr id="1" name="Picture 1"/>
            <wp:cNvGraphicFramePr>
              <a:graphicFrameLocks noChangeAspect="1"/>
            </wp:cNvGraphicFramePr>
            <a:graphic>
              <a:graphicData uri="http://schemas.openxmlformats.org/drawingml/2006/picture">
                <pic:pic>
                  <pic:nvPicPr>
                    <pic:cNvPr id="0" name="Fig1_study_flow.png"/>
                    <pic:cNvPicPr/>
                  </pic:nvPicPr>
                  <pic:blipFill>
                    <a:blip r:embed="rId9"/>
                    <a:stretch>
                      <a:fillRect/>
                    </a:stretch>
                  </pic:blipFill>
                  <pic:spPr>
                    <a:xfrm>
                      <a:off x="0" y="0"/>
                      <a:ext cx="5852160" cy="4554188"/>
                    </a:xfrm>
                    <a:prstGeom prst="rect"/>
                  </pic:spPr>
                </pic:pic>
              </a:graphicData>
            </a:graphic>
          </wp:inline>
        </w:drawing>
      </w:r>
    </w:p>
    <w:p>
      <w:pPr>
        <w:spacing w:after="160"/>
      </w:pPr>
      <w:r>
        <w:t>The modality groups were not interchangeable (Table 1): ultrasound went to children with volvulus more often, its use rising from 13% to 48% of operated children between eras. The UGI series was the last preoperative test in 75.1% of children who received it against 19.2% for CT, and its detection was higher in that position (80.4% vs 70.5%) — the confirmatory study before operation, a feature of the pathway rather than of the test.</w:t>
      </w:r>
    </w:p>
    <w:p>
      <w:pPr>
        <w:pStyle w:val="Heading2"/>
      </w:pPr>
      <w:r>
        <w:t>Report-level detection and certainty of wording</w:t>
      </w:r>
    </w:p>
    <w:p>
      <w:pPr>
        <w:spacing w:after="160"/>
      </w:pPr>
      <w:r>
        <w:t>Detection was 237/301 (78.7%, 95% CI 73.8–83.0) for the UGI series, 171/320 (53.4%, 48.0–58.8) for CT and 65/119 (54.6%, 45.7–63.3) for ultrasound (Table 2, Fig. 2) — indication-selected denominators from overlapping groups, not a ranking. CT and ultrasound had lower odds of a positive report than the UGI series (odds ratio 0.31 and 0.33 unadjusted, 0.29 and 0.27 adjusted), and the same model showed higher detection above 1 year (3.14, 1.71–5.75) and in the later era (1.79, 1.20–2.68); these coefficients absorb indication, pathway position and content (Online Resource 2). Reclassifying possible-tier conclusions as negative reduced detection to 51.2%, 34.1% and 27.7% (Table 2).</w:t>
      </w:r>
    </w:p>
    <w:p>
      <w:pPr>
        <w:spacing w:after="160"/>
      </w:pPr>
      <w:r>
        <w:rPr>
          <w:b/>
        </w:rPr>
        <w:t>Table 2. Report-level detection of intestinal malrotation among surgically confirmed children, with the certainty of the wording used in positive conclusions</w:t>
      </w:r>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
              <w:rPr>
                <w:rFonts w:ascii="Times New Roman" w:hAnsi="Times New Roman"/>
                <w:b/>
                <w:sz w:val="17"/>
              </w:rPr>
              <w:t>Index test</w:t>
            </w:r>
          </w:p>
        </w:tc>
        <w:tc>
          <w:tcPr>
            <w:tcW w:type="dxa" w:w="1337"/>
          </w:tcPr>
          <w:p>
            <w:r/>
            <w:r>
              <w:rPr>
                <w:rFonts w:ascii="Times New Roman" w:hAnsi="Times New Roman"/>
                <w:b/>
                <w:sz w:val="17"/>
              </w:rPr>
              <w:t>Positive/total</w:t>
            </w:r>
          </w:p>
        </w:tc>
        <w:tc>
          <w:tcPr>
            <w:tcW w:type="dxa" w:w="1337"/>
          </w:tcPr>
          <w:p>
            <w:r/>
            <w:r>
              <w:rPr>
                <w:rFonts w:ascii="Times New Roman" w:hAnsi="Times New Roman"/>
                <w:b/>
                <w:sz w:val="17"/>
              </w:rPr>
              <w:t>Detection rate, % (95% CI)</w:t>
            </w:r>
          </w:p>
        </w:tc>
        <w:tc>
          <w:tcPr>
            <w:tcW w:type="dxa" w:w="1337"/>
          </w:tcPr>
          <w:p>
            <w:r/>
            <w:r>
              <w:rPr>
                <w:rFonts w:ascii="Times New Roman" w:hAnsi="Times New Roman"/>
                <w:b/>
                <w:sz w:val="17"/>
              </w:rPr>
              <w:t>Definite wording, n (%)</w:t>
            </w:r>
          </w:p>
        </w:tc>
        <w:tc>
          <w:tcPr>
            <w:tcW w:type="dxa" w:w="1337"/>
          </w:tcPr>
          <w:p>
            <w:r/>
            <w:r>
              <w:rPr>
                <w:rFonts w:ascii="Times New Roman" w:hAnsi="Times New Roman"/>
                <w:b/>
                <w:sz w:val="17"/>
              </w:rPr>
              <w:t>Probable wording, n (%)</w:t>
            </w:r>
          </w:p>
        </w:tc>
        <w:tc>
          <w:tcPr>
            <w:tcW w:type="dxa" w:w="1337"/>
          </w:tcPr>
          <w:p>
            <w:r/>
            <w:r>
              <w:rPr>
                <w:rFonts w:ascii="Times New Roman" w:hAnsi="Times New Roman"/>
                <w:b/>
                <w:sz w:val="17"/>
              </w:rPr>
              <w:t>Possible wording, n (%)</w:t>
            </w:r>
          </w:p>
        </w:tc>
        <w:tc>
          <w:tcPr>
            <w:tcW w:type="dxa" w:w="1337"/>
          </w:tcPr>
          <w:p>
            <w:r/>
            <w:r>
              <w:rPr>
                <w:rFonts w:ascii="Times New Roman" w:hAnsi="Times New Roman"/>
                <w:b/>
                <w:sz w:val="17"/>
              </w:rPr>
              <w:t>Detection excluding possible wording, %</w:t>
            </w:r>
          </w:p>
        </w:tc>
      </w:tr>
      <w:tr>
        <w:tc>
          <w:tcPr>
            <w:tcW w:type="dxa" w:w="1337"/>
          </w:tcPr>
          <w:p>
            <w:r/>
            <w:r>
              <w:rPr>
                <w:rFonts w:ascii="Times New Roman" w:hAnsi="Times New Roman"/>
                <w:sz w:val="17"/>
              </w:rPr>
              <w:t>UGI contrast series</w:t>
            </w:r>
          </w:p>
        </w:tc>
        <w:tc>
          <w:tcPr>
            <w:tcW w:type="dxa" w:w="1337"/>
          </w:tcPr>
          <w:p>
            <w:r/>
            <w:r>
              <w:rPr>
                <w:rFonts w:ascii="Times New Roman" w:hAnsi="Times New Roman"/>
                <w:sz w:val="17"/>
              </w:rPr>
              <w:t>237/301</w:t>
            </w:r>
          </w:p>
        </w:tc>
        <w:tc>
          <w:tcPr>
            <w:tcW w:type="dxa" w:w="1337"/>
          </w:tcPr>
          <w:p>
            <w:r/>
            <w:r>
              <w:rPr>
                <w:rFonts w:ascii="Times New Roman" w:hAnsi="Times New Roman"/>
                <w:sz w:val="17"/>
              </w:rPr>
              <w:t>78.7 (73.8–83.0)</w:t>
            </w:r>
          </w:p>
        </w:tc>
        <w:tc>
          <w:tcPr>
            <w:tcW w:type="dxa" w:w="1337"/>
          </w:tcPr>
          <w:p>
            <w:r/>
            <w:r>
              <w:rPr>
                <w:rFonts w:ascii="Times New Roman" w:hAnsi="Times New Roman"/>
                <w:sz w:val="17"/>
              </w:rPr>
              <w:t>78 (32.9)</w:t>
            </w:r>
          </w:p>
        </w:tc>
        <w:tc>
          <w:tcPr>
            <w:tcW w:type="dxa" w:w="1337"/>
          </w:tcPr>
          <w:p>
            <w:r/>
            <w:r>
              <w:rPr>
                <w:rFonts w:ascii="Times New Roman" w:hAnsi="Times New Roman"/>
                <w:sz w:val="17"/>
              </w:rPr>
              <w:t>76 (32.1)</w:t>
            </w:r>
          </w:p>
        </w:tc>
        <w:tc>
          <w:tcPr>
            <w:tcW w:type="dxa" w:w="1337"/>
          </w:tcPr>
          <w:p>
            <w:r/>
            <w:r>
              <w:rPr>
                <w:rFonts w:ascii="Times New Roman" w:hAnsi="Times New Roman"/>
                <w:sz w:val="17"/>
              </w:rPr>
              <w:t>83 (35.0)</w:t>
            </w:r>
          </w:p>
        </w:tc>
        <w:tc>
          <w:tcPr>
            <w:tcW w:type="dxa" w:w="1337"/>
          </w:tcPr>
          <w:p>
            <w:r/>
            <w:r>
              <w:rPr>
                <w:rFonts w:ascii="Times New Roman" w:hAnsi="Times New Roman"/>
                <w:sz w:val="17"/>
              </w:rPr>
              <w:t>51.2</w:t>
            </w:r>
          </w:p>
        </w:tc>
      </w:tr>
      <w:tr>
        <w:tc>
          <w:tcPr>
            <w:tcW w:type="dxa" w:w="1337"/>
          </w:tcPr>
          <w:p>
            <w:r/>
            <w:r>
              <w:rPr>
                <w:rFonts w:ascii="Times New Roman" w:hAnsi="Times New Roman"/>
                <w:sz w:val="17"/>
              </w:rPr>
              <w:t>Abdominal CT (all)</w:t>
            </w:r>
          </w:p>
        </w:tc>
        <w:tc>
          <w:tcPr>
            <w:tcW w:type="dxa" w:w="1337"/>
          </w:tcPr>
          <w:p>
            <w:r/>
            <w:r>
              <w:rPr>
                <w:rFonts w:ascii="Times New Roman" w:hAnsi="Times New Roman"/>
                <w:sz w:val="17"/>
              </w:rPr>
              <w:t>171/320</w:t>
            </w:r>
          </w:p>
        </w:tc>
        <w:tc>
          <w:tcPr>
            <w:tcW w:type="dxa" w:w="1337"/>
          </w:tcPr>
          <w:p>
            <w:r/>
            <w:r>
              <w:rPr>
                <w:rFonts w:ascii="Times New Roman" w:hAnsi="Times New Roman"/>
                <w:sz w:val="17"/>
              </w:rPr>
              <w:t>53.4 (48.0–58.8)</w:t>
            </w:r>
          </w:p>
        </w:tc>
        <w:tc>
          <w:tcPr>
            <w:tcW w:type="dxa" w:w="1337"/>
          </w:tcPr>
          <w:p>
            <w:r/>
            <w:r>
              <w:rPr>
                <w:rFonts w:ascii="Times New Roman" w:hAnsi="Times New Roman"/>
                <w:sz w:val="17"/>
              </w:rPr>
              <w:t>34 (19.9)</w:t>
            </w:r>
          </w:p>
        </w:tc>
        <w:tc>
          <w:tcPr>
            <w:tcW w:type="dxa" w:w="1337"/>
          </w:tcPr>
          <w:p>
            <w:r/>
            <w:r>
              <w:rPr>
                <w:rFonts w:ascii="Times New Roman" w:hAnsi="Times New Roman"/>
                <w:sz w:val="17"/>
              </w:rPr>
              <w:t>75 (43.9)</w:t>
            </w:r>
          </w:p>
        </w:tc>
        <w:tc>
          <w:tcPr>
            <w:tcW w:type="dxa" w:w="1337"/>
          </w:tcPr>
          <w:p>
            <w:r/>
            <w:r>
              <w:rPr>
                <w:rFonts w:ascii="Times New Roman" w:hAnsi="Times New Roman"/>
                <w:sz w:val="17"/>
              </w:rPr>
              <w:t>62 (36.3)</w:t>
            </w:r>
          </w:p>
        </w:tc>
        <w:tc>
          <w:tcPr>
            <w:tcW w:type="dxa" w:w="1337"/>
          </w:tcPr>
          <w:p>
            <w:r/>
            <w:r>
              <w:rPr>
                <w:rFonts w:ascii="Times New Roman" w:hAnsi="Times New Roman"/>
                <w:sz w:val="17"/>
              </w:rPr>
              <w:t>34.1</w:t>
            </w:r>
          </w:p>
        </w:tc>
      </w:tr>
      <w:tr>
        <w:tc>
          <w:tcPr>
            <w:tcW w:type="dxa" w:w="1337"/>
          </w:tcPr>
          <w:p>
            <w:r/>
            <w:r>
              <w:rPr>
                <w:rFonts w:ascii="Times New Roman" w:hAnsi="Times New Roman"/>
                <w:sz w:val="17"/>
              </w:rPr>
              <w:t>Gastrointestinal ultrasound</w:t>
            </w:r>
          </w:p>
        </w:tc>
        <w:tc>
          <w:tcPr>
            <w:tcW w:type="dxa" w:w="1337"/>
          </w:tcPr>
          <w:p>
            <w:r/>
            <w:r>
              <w:rPr>
                <w:rFonts w:ascii="Times New Roman" w:hAnsi="Times New Roman"/>
                <w:sz w:val="17"/>
              </w:rPr>
              <w:t>65/119</w:t>
            </w:r>
          </w:p>
        </w:tc>
        <w:tc>
          <w:tcPr>
            <w:tcW w:type="dxa" w:w="1337"/>
          </w:tcPr>
          <w:p>
            <w:r/>
            <w:r>
              <w:rPr>
                <w:rFonts w:ascii="Times New Roman" w:hAnsi="Times New Roman"/>
                <w:sz w:val="17"/>
              </w:rPr>
              <w:t>54.6 (45.7–63.3)</w:t>
            </w:r>
          </w:p>
        </w:tc>
        <w:tc>
          <w:tcPr>
            <w:tcW w:type="dxa" w:w="1337"/>
          </w:tcPr>
          <w:p>
            <w:r/>
            <w:r>
              <w:rPr>
                <w:rFonts w:ascii="Times New Roman" w:hAnsi="Times New Roman"/>
                <w:sz w:val="17"/>
              </w:rPr>
              <w:t>16 (24.6)</w:t>
            </w:r>
          </w:p>
        </w:tc>
        <w:tc>
          <w:tcPr>
            <w:tcW w:type="dxa" w:w="1337"/>
          </w:tcPr>
          <w:p>
            <w:r/>
            <w:r>
              <w:rPr>
                <w:rFonts w:ascii="Times New Roman" w:hAnsi="Times New Roman"/>
                <w:sz w:val="17"/>
              </w:rPr>
              <w:t>17 (26.2)</w:t>
            </w:r>
          </w:p>
        </w:tc>
        <w:tc>
          <w:tcPr>
            <w:tcW w:type="dxa" w:w="1337"/>
          </w:tcPr>
          <w:p>
            <w:r/>
            <w:r>
              <w:rPr>
                <w:rFonts w:ascii="Times New Roman" w:hAnsi="Times New Roman"/>
                <w:sz w:val="17"/>
              </w:rPr>
              <w:t>32 (49.2)</w:t>
            </w:r>
          </w:p>
        </w:tc>
        <w:tc>
          <w:tcPr>
            <w:tcW w:type="dxa" w:w="1337"/>
          </w:tcPr>
          <w:p>
            <w:r/>
            <w:r>
              <w:rPr>
                <w:rFonts w:ascii="Times New Roman" w:hAnsi="Times New Roman"/>
                <w:sz w:val="17"/>
              </w:rPr>
              <w:t>27.7</w:t>
            </w:r>
          </w:p>
        </w:tc>
      </w:tr>
      <w:tr>
        <w:tc>
          <w:tcPr>
            <w:tcW w:type="dxa" w:w="1337"/>
          </w:tcPr>
          <w:p>
            <w:r/>
            <w:r>
              <w:rPr>
                <w:rFonts w:ascii="Times New Roman" w:hAnsi="Times New Roman"/>
                <w:sz w:val="17"/>
              </w:rPr>
              <w:t xml:space="preserve">  CT, contrast-enhanced</w:t>
            </w:r>
          </w:p>
        </w:tc>
        <w:tc>
          <w:tcPr>
            <w:tcW w:type="dxa" w:w="1337"/>
          </w:tcPr>
          <w:p>
            <w:r/>
            <w:r>
              <w:rPr>
                <w:rFonts w:ascii="Times New Roman" w:hAnsi="Times New Roman"/>
                <w:sz w:val="17"/>
              </w:rPr>
              <w:t>44/52</w:t>
            </w:r>
          </w:p>
        </w:tc>
        <w:tc>
          <w:tcPr>
            <w:tcW w:type="dxa" w:w="1337"/>
          </w:tcPr>
          <w:p>
            <w:r/>
            <w:r>
              <w:rPr>
                <w:rFonts w:ascii="Times New Roman" w:hAnsi="Times New Roman"/>
                <w:sz w:val="17"/>
              </w:rPr>
              <w:t>84.6 (72.5–92.0)</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r>
      <w:tr>
        <w:tc>
          <w:tcPr>
            <w:tcW w:type="dxa" w:w="1337"/>
          </w:tcPr>
          <w:p>
            <w:r/>
            <w:r>
              <w:rPr>
                <w:rFonts w:ascii="Times New Roman" w:hAnsi="Times New Roman"/>
                <w:sz w:val="17"/>
              </w:rPr>
              <w:t xml:space="preserve">  CT, unenhanced</w:t>
            </w:r>
          </w:p>
        </w:tc>
        <w:tc>
          <w:tcPr>
            <w:tcW w:type="dxa" w:w="1337"/>
          </w:tcPr>
          <w:p>
            <w:r/>
            <w:r>
              <w:rPr>
                <w:rFonts w:ascii="Times New Roman" w:hAnsi="Times New Roman"/>
                <w:sz w:val="17"/>
              </w:rPr>
              <w:t>127/268</w:t>
            </w:r>
          </w:p>
        </w:tc>
        <w:tc>
          <w:tcPr>
            <w:tcW w:type="dxa" w:w="1337"/>
          </w:tcPr>
          <w:p>
            <w:r/>
            <w:r>
              <w:rPr>
                <w:rFonts w:ascii="Times New Roman" w:hAnsi="Times New Roman"/>
                <w:sz w:val="17"/>
              </w:rPr>
              <w:t>47.4 (41.5–53.4)</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r>
    </w:tbl>
    <w:p>
      <w:pPr>
        <w:spacing w:after="160"/>
      </w:pPr>
      <w:r>
        <w:rPr>
          <w:i/>
          <w:sz w:val="17"/>
        </w:rPr>
        <w:t>Wilson 95% confidence intervals. Denominators differ between modalities and are drawn from overlapping but non-identical, indication-selected groups of children; the rates are not directly comparable between modalities and are not sensitivities. Certainty tiers were assigned from the conclusion text: definite (unqualified statement), probable ("most likely", "first consideration"), possible ("suspected", "cannot be excluded", "?"). The final column repeats the detection rate after reclassifying all possible-tier conclusions as negative. Percentages for certainty tiers are of positive reports; detection rates are of all index reports of that modality. Contrast-enhanced and unenhanced CT were performed for different indications and in children of different ages, so their comparison is confounded and is presented as an exploratory subgroup only.</w:t>
      </w:r>
    </w:p>
    <w:p>
      <w:pPr>
        <w:jc w:val="center"/>
      </w:pPr>
      <w:r>
        <w:drawing>
          <wp:inline xmlns:a="http://schemas.openxmlformats.org/drawingml/2006/main" xmlns:pic="http://schemas.openxmlformats.org/drawingml/2006/picture">
            <wp:extent cx="5852160" cy="2391876"/>
            <wp:docPr id="2" name="Picture 2"/>
            <wp:cNvGraphicFramePr>
              <a:graphicFrameLocks noChangeAspect="1"/>
            </wp:cNvGraphicFramePr>
            <a:graphic>
              <a:graphicData uri="http://schemas.openxmlformats.org/drawingml/2006/picture">
                <pic:pic>
                  <pic:nvPicPr>
                    <pic:cNvPr id="0" name="Fig2_detection_by_modality.png"/>
                    <pic:cNvPicPr/>
                  </pic:nvPicPr>
                  <pic:blipFill>
                    <a:blip r:embed="rId10"/>
                    <a:stretch>
                      <a:fillRect/>
                    </a:stretch>
                  </pic:blipFill>
                  <pic:spPr>
                    <a:xfrm>
                      <a:off x="0" y="0"/>
                      <a:ext cx="5852160" cy="2391876"/>
                    </a:xfrm>
                    <a:prstGeom prst="rect"/>
                  </pic:spPr>
                </pic:pic>
              </a:graphicData>
            </a:graphic>
          </wp:inline>
        </w:drawing>
      </w:r>
    </w:p>
    <w:p>
      <w:pPr>
        <w:pStyle w:val="Heading2"/>
      </w:pPr>
      <w:r>
        <w:t>What the ultrasound examinations contained</w:t>
      </w:r>
    </w:p>
    <w:p>
      <w:pPr>
        <w:spacing w:after="160"/>
      </w:pPr>
      <w:r>
        <w:t>The central finding concerns the content of the 119 ultrasound index examinations (Table 3, Fig. 3). Three (2.5%; 95% CI 0.9–7.2) documented D3 or the duodenojejunal junction and seven (5.9%) mentioned the duodenum at all. Twelve (10.1%) addressed the mesenteric artery–vein relationship, and one stated the vessels were inverted — although inversion was one of the two criteria defining a positive ultrasound. Enteric fluid was recorded twice, dynamic assessment three times and graded compression once, against colour Doppler in 116 (97.5%). By contrast, 58 (48.7%) reported a whirlpool, and bowel gas limited 30 (25.2%).</w:t>
      </w:r>
    </w:p>
    <w:p>
      <w:pPr>
        <w:spacing w:after="160"/>
      </w:pPr>
      <w:r>
        <w:t>The three show what the audit detects: in 2018 the horizontal duodenum was described passing anterior to the superior mesenteric artery after oral contrast; in 2022 it was followed between the artery and the aorta into the left upper abdomen with the duodenojejunal junction identified, the only examination resembling the published protocol.</w:t>
      </w:r>
    </w:p>
    <w:p>
      <w:pPr>
        <w:spacing w:after="160"/>
      </w:pPr>
      <w:r>
        <w:t>Detection followed this content closely. Ultrasound named malrotation in 58 of the 58 examinations reporting a whirlpool and in 7 of the 61 without one (11.5%, 95% CI 5.7–21.8). That contrast is in part definitional, because a whirlpool is itself one of the positivity criteria; all 58 of those conclusions named malrotation or volvulus outright. The informative half is the converse: a whirlpool was reported in only 58 of the 113 children (51.3%) whose operation confirmed midgut volvulus. Ten of the 12 examinations addressing the mesenteric vessels were positive, the exceptions being the two recording the relationship as normal (Table 3).</w:t>
      </w:r>
    </w:p>
    <w:p>
      <w:pPr>
        <w:spacing w:after="160"/>
      </w:pPr>
      <w:r>
        <w:rPr>
          <w:b/>
        </w:rPr>
        <w:t>Table 3. Documented content of the 119 routine gastrointestinal ultrasound index examinations, and report-level detection conditional on that content</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
              <w:rPr>
                <w:rFonts w:ascii="Times New Roman" w:hAnsi="Times New Roman"/>
                <w:b/>
                <w:sz w:val="17"/>
              </w:rPr>
              <w:t>Documented content of the ultrasound examination</w:t>
            </w:r>
          </w:p>
        </w:tc>
        <w:tc>
          <w:tcPr>
            <w:tcW w:type="dxa" w:w="1560"/>
          </w:tcPr>
          <w:p>
            <w:r/>
            <w:r>
              <w:rPr>
                <w:rFonts w:ascii="Times New Roman" w:hAnsi="Times New Roman"/>
                <w:b/>
                <w:sz w:val="17"/>
              </w:rPr>
              <w:t>n (%) of 119</w:t>
            </w:r>
          </w:p>
        </w:tc>
        <w:tc>
          <w:tcPr>
            <w:tcW w:type="dxa" w:w="1560"/>
          </w:tcPr>
          <w:p>
            <w:r/>
            <w:r>
              <w:rPr>
                <w:rFonts w:ascii="Times New Roman" w:hAnsi="Times New Roman"/>
                <w:b/>
                <w:sz w:val="17"/>
              </w:rPr>
              <w:t>2012–2018 (n=39)</w:t>
            </w:r>
          </w:p>
        </w:tc>
        <w:tc>
          <w:tcPr>
            <w:tcW w:type="dxa" w:w="1560"/>
          </w:tcPr>
          <w:p>
            <w:r/>
            <w:r>
              <w:rPr>
                <w:rFonts w:ascii="Times New Roman" w:hAnsi="Times New Roman"/>
                <w:b/>
                <w:sz w:val="17"/>
              </w:rPr>
              <w:t>2019–2026 (n=80)</w:t>
            </w:r>
          </w:p>
        </w:tc>
        <w:tc>
          <w:tcPr>
            <w:tcW w:type="dxa" w:w="1560"/>
          </w:tcPr>
          <w:p>
            <w:r/>
            <w:r>
              <w:rPr>
                <w:rFonts w:ascii="Times New Roman" w:hAnsi="Times New Roman"/>
                <w:b/>
                <w:sz w:val="17"/>
              </w:rPr>
              <w:t>Detection when documented</w:t>
            </w:r>
          </w:p>
        </w:tc>
        <w:tc>
          <w:tcPr>
            <w:tcW w:type="dxa" w:w="1560"/>
          </w:tcPr>
          <w:p>
            <w:r/>
            <w:r>
              <w:rPr>
                <w:rFonts w:ascii="Times New Roman" w:hAnsi="Times New Roman"/>
                <w:b/>
                <w:sz w:val="17"/>
              </w:rPr>
              <w:t>Detection when not documented</w:t>
            </w:r>
          </w:p>
        </w:tc>
      </w:tr>
      <w:tr>
        <w:tc>
          <w:tcPr>
            <w:tcW w:type="dxa" w:w="1560"/>
          </w:tcPr>
          <w:p>
            <w:r/>
            <w:r>
              <w:rPr>
                <w:rFonts w:ascii="Times New Roman" w:hAnsi="Times New Roman"/>
                <w:sz w:val="17"/>
              </w:rPr>
              <w:t>Third portion of duodenum or duodenojejunal junction</w:t>
            </w:r>
          </w:p>
        </w:tc>
        <w:tc>
          <w:tcPr>
            <w:tcW w:type="dxa" w:w="1560"/>
          </w:tcPr>
          <w:p>
            <w:r/>
            <w:r>
              <w:rPr>
                <w:rFonts w:ascii="Times New Roman" w:hAnsi="Times New Roman"/>
                <w:sz w:val="17"/>
              </w:rPr>
              <w:t>3 (2.5)</w:t>
            </w:r>
          </w:p>
        </w:tc>
        <w:tc>
          <w:tcPr>
            <w:tcW w:type="dxa" w:w="1560"/>
          </w:tcPr>
          <w:p>
            <w:r/>
            <w:r>
              <w:rPr>
                <w:rFonts w:ascii="Times New Roman" w:hAnsi="Times New Roman"/>
                <w:sz w:val="17"/>
              </w:rPr>
              <w:t>1</w:t>
            </w:r>
          </w:p>
        </w:tc>
        <w:tc>
          <w:tcPr>
            <w:tcW w:type="dxa" w:w="1560"/>
          </w:tcPr>
          <w:p>
            <w:r/>
            <w:r>
              <w:rPr>
                <w:rFonts w:ascii="Times New Roman" w:hAnsi="Times New Roman"/>
                <w:sz w:val="17"/>
              </w:rPr>
              <w:t>2</w:t>
            </w:r>
          </w:p>
        </w:tc>
        <w:tc>
          <w:tcPr>
            <w:tcW w:type="dxa" w:w="1560"/>
          </w:tcPr>
          <w:p>
            <w:r/>
            <w:r>
              <w:rPr>
                <w:rFonts w:ascii="Times New Roman" w:hAnsi="Times New Roman"/>
                <w:sz w:val="17"/>
              </w:rPr>
              <w:t>2/3</w:t>
            </w:r>
          </w:p>
        </w:tc>
        <w:tc>
          <w:tcPr>
            <w:tcW w:type="dxa" w:w="1560"/>
          </w:tcPr>
          <w:p>
            <w:r/>
            <w:r>
              <w:rPr>
                <w:rFonts w:ascii="Times New Roman" w:hAnsi="Times New Roman"/>
                <w:sz w:val="17"/>
              </w:rPr>
              <w:t>63/116 (54%)</w:t>
            </w:r>
          </w:p>
        </w:tc>
      </w:tr>
      <w:tr>
        <w:tc>
          <w:tcPr>
            <w:tcW w:type="dxa" w:w="1560"/>
          </w:tcPr>
          <w:p>
            <w:r/>
            <w:r>
              <w:rPr>
                <w:rFonts w:ascii="Times New Roman" w:hAnsi="Times New Roman"/>
                <w:sz w:val="17"/>
              </w:rPr>
              <w:t>Duodenum mentioned in any form</w:t>
            </w:r>
          </w:p>
        </w:tc>
        <w:tc>
          <w:tcPr>
            <w:tcW w:type="dxa" w:w="1560"/>
          </w:tcPr>
          <w:p>
            <w:r/>
            <w:r>
              <w:rPr>
                <w:rFonts w:ascii="Times New Roman" w:hAnsi="Times New Roman"/>
                <w:sz w:val="17"/>
              </w:rPr>
              <w:t>7 (5.9)</w:t>
            </w:r>
          </w:p>
        </w:tc>
        <w:tc>
          <w:tcPr>
            <w:tcW w:type="dxa" w:w="1560"/>
          </w:tcPr>
          <w:p>
            <w:r/>
            <w:r>
              <w:rPr>
                <w:rFonts w:ascii="Times New Roman" w:hAnsi="Times New Roman"/>
                <w:sz w:val="17"/>
              </w:rPr>
              <w:t>3</w:t>
            </w:r>
          </w:p>
        </w:tc>
        <w:tc>
          <w:tcPr>
            <w:tcW w:type="dxa" w:w="1560"/>
          </w:tcPr>
          <w:p>
            <w:r/>
            <w:r>
              <w:rPr>
                <w:rFonts w:ascii="Times New Roman" w:hAnsi="Times New Roman"/>
                <w:sz w:val="17"/>
              </w:rPr>
              <w:t>4</w:t>
            </w:r>
          </w:p>
        </w:tc>
        <w:tc>
          <w:tcPr>
            <w:tcW w:type="dxa" w:w="1560"/>
          </w:tcPr>
          <w:p>
            <w:r/>
            <w:r>
              <w:rPr>
                <w:rFonts w:ascii="Times New Roman" w:hAnsi="Times New Roman"/>
                <w:sz w:val="17"/>
              </w:rPr>
              <w:t>3/7</w:t>
            </w:r>
          </w:p>
        </w:tc>
        <w:tc>
          <w:tcPr>
            <w:tcW w:type="dxa" w:w="1560"/>
          </w:tcPr>
          <w:p>
            <w:r/>
            <w:r>
              <w:rPr>
                <w:rFonts w:ascii="Times New Roman" w:hAnsi="Times New Roman"/>
                <w:sz w:val="17"/>
              </w:rPr>
              <w:t>62/112 (55%)</w:t>
            </w:r>
          </w:p>
        </w:tc>
      </w:tr>
      <w:tr>
        <w:tc>
          <w:tcPr>
            <w:tcW w:type="dxa" w:w="1560"/>
          </w:tcPr>
          <w:p>
            <w:r/>
            <w:r>
              <w:rPr>
                <w:rFonts w:ascii="Times New Roman" w:hAnsi="Times New Roman"/>
                <w:sz w:val="17"/>
              </w:rPr>
              <w:t>Superior mesenteric artery–vein relationship</w:t>
            </w:r>
          </w:p>
        </w:tc>
        <w:tc>
          <w:tcPr>
            <w:tcW w:type="dxa" w:w="1560"/>
          </w:tcPr>
          <w:p>
            <w:r/>
            <w:r>
              <w:rPr>
                <w:rFonts w:ascii="Times New Roman" w:hAnsi="Times New Roman"/>
                <w:sz w:val="17"/>
              </w:rPr>
              <w:t>12 (10.1)</w:t>
            </w:r>
          </w:p>
        </w:tc>
        <w:tc>
          <w:tcPr>
            <w:tcW w:type="dxa" w:w="1560"/>
          </w:tcPr>
          <w:p>
            <w:r/>
            <w:r>
              <w:rPr>
                <w:rFonts w:ascii="Times New Roman" w:hAnsi="Times New Roman"/>
                <w:sz w:val="17"/>
              </w:rPr>
              <w:t>3</w:t>
            </w:r>
          </w:p>
        </w:tc>
        <w:tc>
          <w:tcPr>
            <w:tcW w:type="dxa" w:w="1560"/>
          </w:tcPr>
          <w:p>
            <w:r/>
            <w:r>
              <w:rPr>
                <w:rFonts w:ascii="Times New Roman" w:hAnsi="Times New Roman"/>
                <w:sz w:val="17"/>
              </w:rPr>
              <w:t>9</w:t>
            </w:r>
          </w:p>
        </w:tc>
        <w:tc>
          <w:tcPr>
            <w:tcW w:type="dxa" w:w="1560"/>
          </w:tcPr>
          <w:p>
            <w:r/>
            <w:r>
              <w:rPr>
                <w:rFonts w:ascii="Times New Roman" w:hAnsi="Times New Roman"/>
                <w:sz w:val="17"/>
              </w:rPr>
              <w:t>10/12 (83%)</w:t>
            </w:r>
          </w:p>
        </w:tc>
        <w:tc>
          <w:tcPr>
            <w:tcW w:type="dxa" w:w="1560"/>
          </w:tcPr>
          <w:p>
            <w:r/>
            <w:r>
              <w:rPr>
                <w:rFonts w:ascii="Times New Roman" w:hAnsi="Times New Roman"/>
                <w:sz w:val="17"/>
              </w:rPr>
              <w:t>55/107 (51%)</w:t>
            </w:r>
          </w:p>
        </w:tc>
      </w:tr>
      <w:tr>
        <w:tc>
          <w:tcPr>
            <w:tcW w:type="dxa" w:w="1560"/>
          </w:tcPr>
          <w:p>
            <w:r/>
            <w:r>
              <w:rPr>
                <w:rFonts w:ascii="Times New Roman" w:hAnsi="Times New Roman"/>
                <w:sz w:val="17"/>
              </w:rPr>
              <w:t>Explicit statement of vessel inversion</w:t>
            </w:r>
          </w:p>
        </w:tc>
        <w:tc>
          <w:tcPr>
            <w:tcW w:type="dxa" w:w="1560"/>
          </w:tcPr>
          <w:p>
            <w:r/>
            <w:r>
              <w:rPr>
                <w:rFonts w:ascii="Times New Roman" w:hAnsi="Times New Roman"/>
                <w:sz w:val="17"/>
              </w:rPr>
              <w:t>1 (0.8)</w:t>
            </w:r>
          </w:p>
        </w:tc>
        <w:tc>
          <w:tcPr>
            <w:tcW w:type="dxa" w:w="1560"/>
          </w:tcPr>
          <w:p>
            <w:r/>
            <w:r>
              <w:rPr>
                <w:rFonts w:ascii="Times New Roman" w:hAnsi="Times New Roman"/>
                <w:sz w:val="17"/>
              </w:rPr>
              <w:t>0</w:t>
            </w:r>
          </w:p>
        </w:tc>
        <w:tc>
          <w:tcPr>
            <w:tcW w:type="dxa" w:w="1560"/>
          </w:tcPr>
          <w:p>
            <w:r/>
            <w:r>
              <w:rPr>
                <w:rFonts w:ascii="Times New Roman" w:hAnsi="Times New Roman"/>
                <w:sz w:val="17"/>
              </w:rPr>
              <w:t>1</w:t>
            </w:r>
          </w:p>
        </w:tc>
        <w:tc>
          <w:tcPr>
            <w:tcW w:type="dxa" w:w="1560"/>
          </w:tcPr>
          <w:p>
            <w:r/>
            <w:r>
              <w:rPr>
                <w:rFonts w:ascii="Times New Roman" w:hAnsi="Times New Roman"/>
                <w:sz w:val="17"/>
              </w:rPr>
              <w:t>1/1</w:t>
            </w:r>
          </w:p>
        </w:tc>
        <w:tc>
          <w:tcPr>
            <w:tcW w:type="dxa" w:w="1560"/>
          </w:tcPr>
          <w:p>
            <w:r/>
            <w:r>
              <w:rPr>
                <w:rFonts w:ascii="Times New Roman" w:hAnsi="Times New Roman"/>
                <w:sz w:val="17"/>
              </w:rPr>
              <w:t>64/118 (54%)</w:t>
            </w:r>
          </w:p>
        </w:tc>
      </w:tr>
      <w:tr>
        <w:tc>
          <w:tcPr>
            <w:tcW w:type="dxa" w:w="1560"/>
          </w:tcPr>
          <w:p>
            <w:r/>
            <w:r>
              <w:rPr>
                <w:rFonts w:ascii="Times New Roman" w:hAnsi="Times New Roman"/>
                <w:sz w:val="17"/>
              </w:rPr>
              <w:t>Enteric fluid administration recorded</w:t>
            </w:r>
          </w:p>
        </w:tc>
        <w:tc>
          <w:tcPr>
            <w:tcW w:type="dxa" w:w="1560"/>
          </w:tcPr>
          <w:p>
            <w:r/>
            <w:r>
              <w:rPr>
                <w:rFonts w:ascii="Times New Roman" w:hAnsi="Times New Roman"/>
                <w:sz w:val="17"/>
              </w:rPr>
              <w:t>2 (1.7)</w:t>
            </w:r>
          </w:p>
        </w:tc>
        <w:tc>
          <w:tcPr>
            <w:tcW w:type="dxa" w:w="1560"/>
          </w:tcPr>
          <w:p>
            <w:r/>
            <w:r>
              <w:rPr>
                <w:rFonts w:ascii="Times New Roman" w:hAnsi="Times New Roman"/>
                <w:sz w:val="17"/>
              </w:rPr>
              <w:t>1</w:t>
            </w:r>
          </w:p>
        </w:tc>
        <w:tc>
          <w:tcPr>
            <w:tcW w:type="dxa" w:w="1560"/>
          </w:tcPr>
          <w:p>
            <w:r/>
            <w:r>
              <w:rPr>
                <w:rFonts w:ascii="Times New Roman" w:hAnsi="Times New Roman"/>
                <w:sz w:val="17"/>
              </w:rPr>
              <w:t>1</w:t>
            </w:r>
          </w:p>
        </w:tc>
        <w:tc>
          <w:tcPr>
            <w:tcW w:type="dxa" w:w="1560"/>
          </w:tcPr>
          <w:p>
            <w:r/>
            <w:r>
              <w:rPr>
                <w:rFonts w:ascii="Times New Roman" w:hAnsi="Times New Roman"/>
                <w:sz w:val="17"/>
              </w:rPr>
              <w:t>1/2</w:t>
            </w:r>
          </w:p>
        </w:tc>
        <w:tc>
          <w:tcPr>
            <w:tcW w:type="dxa" w:w="1560"/>
          </w:tcPr>
          <w:p>
            <w:r/>
            <w:r>
              <w:rPr>
                <w:rFonts w:ascii="Times New Roman" w:hAnsi="Times New Roman"/>
                <w:sz w:val="17"/>
              </w:rPr>
              <w:t>64/117 (55%)</w:t>
            </w:r>
          </w:p>
        </w:tc>
      </w:tr>
      <w:tr>
        <w:tc>
          <w:tcPr>
            <w:tcW w:type="dxa" w:w="1560"/>
          </w:tcPr>
          <w:p>
            <w:r/>
            <w:r>
              <w:rPr>
                <w:rFonts w:ascii="Times New Roman" w:hAnsi="Times New Roman"/>
                <w:sz w:val="17"/>
              </w:rPr>
              <w:t>Dynamic (real-time) assessment</w:t>
            </w:r>
          </w:p>
        </w:tc>
        <w:tc>
          <w:tcPr>
            <w:tcW w:type="dxa" w:w="1560"/>
          </w:tcPr>
          <w:p>
            <w:r/>
            <w:r>
              <w:rPr>
                <w:rFonts w:ascii="Times New Roman" w:hAnsi="Times New Roman"/>
                <w:sz w:val="17"/>
              </w:rPr>
              <w:t>3 (2.5)</w:t>
            </w:r>
          </w:p>
        </w:tc>
        <w:tc>
          <w:tcPr>
            <w:tcW w:type="dxa" w:w="1560"/>
          </w:tcPr>
          <w:p>
            <w:r/>
            <w:r>
              <w:rPr>
                <w:rFonts w:ascii="Times New Roman" w:hAnsi="Times New Roman"/>
                <w:sz w:val="17"/>
              </w:rPr>
              <w:t>0</w:t>
            </w:r>
          </w:p>
        </w:tc>
        <w:tc>
          <w:tcPr>
            <w:tcW w:type="dxa" w:w="1560"/>
          </w:tcPr>
          <w:p>
            <w:r/>
            <w:r>
              <w:rPr>
                <w:rFonts w:ascii="Times New Roman" w:hAnsi="Times New Roman"/>
                <w:sz w:val="17"/>
              </w:rPr>
              <w:t>3</w:t>
            </w:r>
          </w:p>
        </w:tc>
        <w:tc>
          <w:tcPr>
            <w:tcW w:type="dxa" w:w="1560"/>
          </w:tcPr>
          <w:p>
            <w:r/>
            <w:r>
              <w:rPr>
                <w:rFonts w:ascii="Times New Roman" w:hAnsi="Times New Roman"/>
                <w:sz w:val="17"/>
              </w:rPr>
              <w:t>1/3</w:t>
            </w:r>
          </w:p>
        </w:tc>
        <w:tc>
          <w:tcPr>
            <w:tcW w:type="dxa" w:w="1560"/>
          </w:tcPr>
          <w:p>
            <w:r/>
            <w:r>
              <w:rPr>
                <w:rFonts w:ascii="Times New Roman" w:hAnsi="Times New Roman"/>
                <w:sz w:val="17"/>
              </w:rPr>
              <w:t>64/116 (55%)</w:t>
            </w:r>
          </w:p>
        </w:tc>
      </w:tr>
      <w:tr>
        <w:tc>
          <w:tcPr>
            <w:tcW w:type="dxa" w:w="1560"/>
          </w:tcPr>
          <w:p>
            <w:r/>
            <w:r>
              <w:rPr>
                <w:rFonts w:ascii="Times New Roman" w:hAnsi="Times New Roman"/>
                <w:sz w:val="17"/>
              </w:rPr>
              <w:t>Graded compression</w:t>
            </w:r>
          </w:p>
        </w:tc>
        <w:tc>
          <w:tcPr>
            <w:tcW w:type="dxa" w:w="1560"/>
          </w:tcPr>
          <w:p>
            <w:r/>
            <w:r>
              <w:rPr>
                <w:rFonts w:ascii="Times New Roman" w:hAnsi="Times New Roman"/>
                <w:sz w:val="17"/>
              </w:rPr>
              <w:t>1 (0.8)</w:t>
            </w:r>
          </w:p>
        </w:tc>
        <w:tc>
          <w:tcPr>
            <w:tcW w:type="dxa" w:w="1560"/>
          </w:tcPr>
          <w:p>
            <w:r/>
            <w:r>
              <w:rPr>
                <w:rFonts w:ascii="Times New Roman" w:hAnsi="Times New Roman"/>
                <w:sz w:val="17"/>
              </w:rPr>
              <w:t>1</w:t>
            </w:r>
          </w:p>
        </w:tc>
        <w:tc>
          <w:tcPr>
            <w:tcW w:type="dxa" w:w="1560"/>
          </w:tcPr>
          <w:p>
            <w:r/>
            <w:r>
              <w:rPr>
                <w:rFonts w:ascii="Times New Roman" w:hAnsi="Times New Roman"/>
                <w:sz w:val="17"/>
              </w:rPr>
              <w:t>0</w:t>
            </w:r>
          </w:p>
        </w:tc>
        <w:tc>
          <w:tcPr>
            <w:tcW w:type="dxa" w:w="1560"/>
          </w:tcPr>
          <w:p>
            <w:r/>
            <w:r>
              <w:rPr>
                <w:rFonts w:ascii="Times New Roman" w:hAnsi="Times New Roman"/>
                <w:sz w:val="17"/>
              </w:rPr>
              <w:t>1/1</w:t>
            </w:r>
          </w:p>
        </w:tc>
        <w:tc>
          <w:tcPr>
            <w:tcW w:type="dxa" w:w="1560"/>
          </w:tcPr>
          <w:p>
            <w:r/>
            <w:r>
              <w:rPr>
                <w:rFonts w:ascii="Times New Roman" w:hAnsi="Times New Roman"/>
                <w:sz w:val="17"/>
              </w:rPr>
              <w:t>64/118 (54%)</w:t>
            </w:r>
          </w:p>
        </w:tc>
      </w:tr>
      <w:tr>
        <w:tc>
          <w:tcPr>
            <w:tcW w:type="dxa" w:w="1560"/>
          </w:tcPr>
          <w:p>
            <w:r/>
            <w:r>
              <w:rPr>
                <w:rFonts w:ascii="Times New Roman" w:hAnsi="Times New Roman"/>
                <w:sz w:val="17"/>
              </w:rPr>
              <w:t>Caecal position</w:t>
            </w:r>
          </w:p>
        </w:tc>
        <w:tc>
          <w:tcPr>
            <w:tcW w:type="dxa" w:w="1560"/>
          </w:tcPr>
          <w:p>
            <w:r/>
            <w:r>
              <w:rPr>
                <w:rFonts w:ascii="Times New Roman" w:hAnsi="Times New Roman"/>
                <w:sz w:val="17"/>
              </w:rPr>
              <w:t>5 (4.2)</w:t>
            </w:r>
          </w:p>
        </w:tc>
        <w:tc>
          <w:tcPr>
            <w:tcW w:type="dxa" w:w="1560"/>
          </w:tcPr>
          <w:p>
            <w:r/>
            <w:r>
              <w:rPr>
                <w:rFonts w:ascii="Times New Roman" w:hAnsi="Times New Roman"/>
                <w:sz w:val="17"/>
              </w:rPr>
              <w:t>1</w:t>
            </w:r>
          </w:p>
        </w:tc>
        <w:tc>
          <w:tcPr>
            <w:tcW w:type="dxa" w:w="1560"/>
          </w:tcPr>
          <w:p>
            <w:r/>
            <w:r>
              <w:rPr>
                <w:rFonts w:ascii="Times New Roman" w:hAnsi="Times New Roman"/>
                <w:sz w:val="17"/>
              </w:rPr>
              <w:t>4</w:t>
            </w:r>
          </w:p>
        </w:tc>
        <w:tc>
          <w:tcPr>
            <w:tcW w:type="dxa" w:w="1560"/>
          </w:tcPr>
          <w:p>
            <w:r/>
            <w:r>
              <w:rPr>
                <w:rFonts w:ascii="Times New Roman" w:hAnsi="Times New Roman"/>
                <w:sz w:val="17"/>
              </w:rPr>
              <w:t>4/5</w:t>
            </w:r>
          </w:p>
        </w:tc>
        <w:tc>
          <w:tcPr>
            <w:tcW w:type="dxa" w:w="1560"/>
          </w:tcPr>
          <w:p>
            <w:r/>
            <w:r>
              <w:rPr>
                <w:rFonts w:ascii="Times New Roman" w:hAnsi="Times New Roman"/>
                <w:sz w:val="17"/>
              </w:rPr>
              <w:t>61/114 (54%)</w:t>
            </w:r>
          </w:p>
        </w:tc>
      </w:tr>
      <w:tr>
        <w:tc>
          <w:tcPr>
            <w:tcW w:type="dxa" w:w="1560"/>
          </w:tcPr>
          <w:p>
            <w:r/>
            <w:r>
              <w:rPr>
                <w:rFonts w:ascii="Times New Roman" w:hAnsi="Times New Roman"/>
                <w:sz w:val="17"/>
              </w:rPr>
              <w:t>Colour Doppler used</w:t>
            </w:r>
          </w:p>
        </w:tc>
        <w:tc>
          <w:tcPr>
            <w:tcW w:type="dxa" w:w="1560"/>
          </w:tcPr>
          <w:p>
            <w:r/>
            <w:r>
              <w:rPr>
                <w:rFonts w:ascii="Times New Roman" w:hAnsi="Times New Roman"/>
                <w:sz w:val="17"/>
              </w:rPr>
              <w:t>116 (97.5)</w:t>
            </w:r>
          </w:p>
        </w:tc>
        <w:tc>
          <w:tcPr>
            <w:tcW w:type="dxa" w:w="1560"/>
          </w:tcPr>
          <w:p>
            <w:r/>
            <w:r>
              <w:rPr>
                <w:rFonts w:ascii="Times New Roman" w:hAnsi="Times New Roman"/>
                <w:sz w:val="17"/>
              </w:rPr>
              <w:t>38</w:t>
            </w:r>
          </w:p>
        </w:tc>
        <w:tc>
          <w:tcPr>
            <w:tcW w:type="dxa" w:w="1560"/>
          </w:tcPr>
          <w:p>
            <w:r/>
            <w:r>
              <w:rPr>
                <w:rFonts w:ascii="Times New Roman" w:hAnsi="Times New Roman"/>
                <w:sz w:val="17"/>
              </w:rPr>
              <w:t>78</w:t>
            </w:r>
          </w:p>
        </w:tc>
        <w:tc>
          <w:tcPr>
            <w:tcW w:type="dxa" w:w="1560"/>
          </w:tcPr>
          <w:p>
            <w:r/>
            <w:r>
              <w:rPr>
                <w:rFonts w:ascii="Times New Roman" w:hAnsi="Times New Roman"/>
                <w:sz w:val="17"/>
              </w:rPr>
              <w:t>64/116 (55%)</w:t>
            </w:r>
          </w:p>
        </w:tc>
        <w:tc>
          <w:tcPr>
            <w:tcW w:type="dxa" w:w="1560"/>
          </w:tcPr>
          <w:p>
            <w:r/>
            <w:r>
              <w:rPr>
                <w:rFonts w:ascii="Times New Roman" w:hAnsi="Times New Roman"/>
                <w:sz w:val="17"/>
              </w:rPr>
              <w:t>1/3</w:t>
            </w:r>
          </w:p>
        </w:tc>
      </w:tr>
      <w:tr>
        <w:tc>
          <w:tcPr>
            <w:tcW w:type="dxa" w:w="1560"/>
          </w:tcPr>
          <w:p>
            <w:r/>
            <w:r>
              <w:rPr>
                <w:rFonts w:ascii="Times New Roman" w:hAnsi="Times New Roman"/>
                <w:sz w:val="17"/>
              </w:rPr>
              <w:t>Whirlpool, swirl or spiral appearance reported</w:t>
            </w:r>
          </w:p>
        </w:tc>
        <w:tc>
          <w:tcPr>
            <w:tcW w:type="dxa" w:w="1560"/>
          </w:tcPr>
          <w:p>
            <w:r/>
            <w:r>
              <w:rPr>
                <w:rFonts w:ascii="Times New Roman" w:hAnsi="Times New Roman"/>
                <w:sz w:val="17"/>
              </w:rPr>
              <w:t>58 (48.7)</w:t>
            </w:r>
          </w:p>
        </w:tc>
        <w:tc>
          <w:tcPr>
            <w:tcW w:type="dxa" w:w="1560"/>
          </w:tcPr>
          <w:p>
            <w:r/>
            <w:r>
              <w:rPr>
                <w:rFonts w:ascii="Times New Roman" w:hAnsi="Times New Roman"/>
                <w:sz w:val="17"/>
              </w:rPr>
              <w:t>16</w:t>
            </w:r>
          </w:p>
        </w:tc>
        <w:tc>
          <w:tcPr>
            <w:tcW w:type="dxa" w:w="1560"/>
          </w:tcPr>
          <w:p>
            <w:r/>
            <w:r>
              <w:rPr>
                <w:rFonts w:ascii="Times New Roman" w:hAnsi="Times New Roman"/>
                <w:sz w:val="17"/>
              </w:rPr>
              <w:t>42</w:t>
            </w:r>
          </w:p>
        </w:tc>
        <w:tc>
          <w:tcPr>
            <w:tcW w:type="dxa" w:w="1560"/>
          </w:tcPr>
          <w:p>
            <w:r/>
            <w:r>
              <w:rPr>
                <w:rFonts w:ascii="Times New Roman" w:hAnsi="Times New Roman"/>
                <w:sz w:val="17"/>
              </w:rPr>
              <w:t>58/58 (100%)</w:t>
            </w:r>
          </w:p>
        </w:tc>
        <w:tc>
          <w:tcPr>
            <w:tcW w:type="dxa" w:w="1560"/>
          </w:tcPr>
          <w:p>
            <w:r/>
            <w:r>
              <w:rPr>
                <w:rFonts w:ascii="Times New Roman" w:hAnsi="Times New Roman"/>
                <w:sz w:val="17"/>
              </w:rPr>
              <w:t>7/61 (11%)</w:t>
            </w:r>
          </w:p>
        </w:tc>
      </w:tr>
      <w:tr>
        <w:tc>
          <w:tcPr>
            <w:tcW w:type="dxa" w:w="1560"/>
          </w:tcPr>
          <w:p>
            <w:r/>
            <w:r>
              <w:rPr>
                <w:rFonts w:ascii="Times New Roman" w:hAnsi="Times New Roman"/>
                <w:sz w:val="17"/>
              </w:rPr>
              <w:t>Bowel gas explicitly limiting the study</w:t>
            </w:r>
          </w:p>
        </w:tc>
        <w:tc>
          <w:tcPr>
            <w:tcW w:type="dxa" w:w="1560"/>
          </w:tcPr>
          <w:p>
            <w:r/>
            <w:r>
              <w:rPr>
                <w:rFonts w:ascii="Times New Roman" w:hAnsi="Times New Roman"/>
                <w:sz w:val="17"/>
              </w:rPr>
              <w:t>30 (25.2)</w:t>
            </w:r>
          </w:p>
        </w:tc>
        <w:tc>
          <w:tcPr>
            <w:tcW w:type="dxa" w:w="1560"/>
          </w:tcPr>
          <w:p>
            <w:r/>
            <w:r>
              <w:rPr>
                <w:rFonts w:ascii="Times New Roman" w:hAnsi="Times New Roman"/>
                <w:sz w:val="17"/>
              </w:rPr>
              <w:t>11</w:t>
            </w:r>
          </w:p>
        </w:tc>
        <w:tc>
          <w:tcPr>
            <w:tcW w:type="dxa" w:w="1560"/>
          </w:tcPr>
          <w:p>
            <w:r/>
            <w:r>
              <w:rPr>
                <w:rFonts w:ascii="Times New Roman" w:hAnsi="Times New Roman"/>
                <w:sz w:val="17"/>
              </w:rPr>
              <w:t>19</w:t>
            </w:r>
          </w:p>
        </w:tc>
        <w:tc>
          <w:tcPr>
            <w:tcW w:type="dxa" w:w="1560"/>
          </w:tcPr>
          <w:p>
            <w:r/>
            <w:r>
              <w:rPr>
                <w:rFonts w:ascii="Times New Roman" w:hAnsi="Times New Roman"/>
                <w:sz w:val="17"/>
              </w:rPr>
              <w:t>13/30 (43%)</w:t>
            </w:r>
          </w:p>
        </w:tc>
        <w:tc>
          <w:tcPr>
            <w:tcW w:type="dxa" w:w="1560"/>
          </w:tcPr>
          <w:p>
            <w:r/>
            <w:r>
              <w:rPr>
                <w:rFonts w:ascii="Times New Roman" w:hAnsi="Times New Roman"/>
                <w:sz w:val="17"/>
              </w:rPr>
              <w:t>52/89 (58%)</w:t>
            </w:r>
          </w:p>
        </w:tc>
      </w:tr>
      <w:tr>
        <w:tc>
          <w:tcPr>
            <w:tcW w:type="dxa" w:w="1560"/>
          </w:tcPr>
          <w:p>
            <w:r/>
            <w:r>
              <w:rPr>
                <w:rFonts w:ascii="Times New Roman" w:hAnsi="Times New Roman"/>
                <w:sz w:val="17"/>
              </w:rPr>
              <w:t>Booked as abdominal great-vessel study</w:t>
            </w:r>
          </w:p>
        </w:tc>
        <w:tc>
          <w:tcPr>
            <w:tcW w:type="dxa" w:w="1560"/>
          </w:tcPr>
          <w:p>
            <w:r/>
            <w:r>
              <w:rPr>
                <w:rFonts w:ascii="Times New Roman" w:hAnsi="Times New Roman"/>
                <w:sz w:val="17"/>
              </w:rPr>
              <w:t>67 (56.3)</w:t>
            </w:r>
          </w:p>
        </w:tc>
        <w:tc>
          <w:tcPr>
            <w:tcW w:type="dxa" w:w="1560"/>
          </w:tcPr>
          <w:p>
            <w:r/>
            <w:r>
              <w:rPr>
                <w:rFonts w:ascii="Times New Roman" w:hAnsi="Times New Roman"/>
                <w:sz w:val="17"/>
              </w:rPr>
              <w:t>13</w:t>
            </w:r>
          </w:p>
        </w:tc>
        <w:tc>
          <w:tcPr>
            <w:tcW w:type="dxa" w:w="1560"/>
          </w:tcPr>
          <w:p>
            <w:r/>
            <w:r>
              <w:rPr>
                <w:rFonts w:ascii="Times New Roman" w:hAnsi="Times New Roman"/>
                <w:sz w:val="17"/>
              </w:rPr>
              <w:t>54</w:t>
            </w:r>
          </w:p>
        </w:tc>
        <w:tc>
          <w:tcPr>
            <w:tcW w:type="dxa" w:w="1560"/>
          </w:tcPr>
          <w:p>
            <w:r/>
            <w:r>
              <w:rPr>
                <w:rFonts w:ascii="Times New Roman" w:hAnsi="Times New Roman"/>
                <w:sz w:val="17"/>
              </w:rPr>
              <w:t>46/67 (69%)</w:t>
            </w:r>
          </w:p>
        </w:tc>
        <w:tc>
          <w:tcPr>
            <w:tcW w:type="dxa" w:w="1560"/>
          </w:tcPr>
          <w:p>
            <w:r/>
            <w:r>
              <w:rPr>
                <w:rFonts w:ascii="Times New Roman" w:hAnsi="Times New Roman"/>
                <w:sz w:val="17"/>
              </w:rPr>
              <w:t>19/52 (37%)</w:t>
            </w:r>
          </w:p>
        </w:tc>
      </w:tr>
      <w:tr>
        <w:tc>
          <w:tcPr>
            <w:tcW w:type="dxa" w:w="1560"/>
          </w:tcPr>
          <w:p>
            <w:r/>
            <w:r>
              <w:rPr>
                <w:rFonts w:ascii="Times New Roman" w:hAnsi="Times New Roman"/>
                <w:sz w:val="17"/>
              </w:rPr>
              <w:t>Booked as gastrointestinal ultrasound</w:t>
            </w:r>
          </w:p>
        </w:tc>
        <w:tc>
          <w:tcPr>
            <w:tcW w:type="dxa" w:w="1560"/>
          </w:tcPr>
          <w:p>
            <w:r/>
            <w:r>
              <w:rPr>
                <w:rFonts w:ascii="Times New Roman" w:hAnsi="Times New Roman"/>
                <w:sz w:val="17"/>
              </w:rPr>
              <w:t>75 (63.0)</w:t>
            </w:r>
          </w:p>
        </w:tc>
        <w:tc>
          <w:tcPr>
            <w:tcW w:type="dxa" w:w="1560"/>
          </w:tcPr>
          <w:p>
            <w:r/>
            <w:r>
              <w:rPr>
                <w:rFonts w:ascii="Times New Roman" w:hAnsi="Times New Roman"/>
                <w:sz w:val="17"/>
              </w:rPr>
              <w:t>29</w:t>
            </w:r>
          </w:p>
        </w:tc>
        <w:tc>
          <w:tcPr>
            <w:tcW w:type="dxa" w:w="1560"/>
          </w:tcPr>
          <w:p>
            <w:r/>
            <w:r>
              <w:rPr>
                <w:rFonts w:ascii="Times New Roman" w:hAnsi="Times New Roman"/>
                <w:sz w:val="17"/>
              </w:rPr>
              <w:t>46</w:t>
            </w:r>
          </w:p>
        </w:tc>
        <w:tc>
          <w:tcPr>
            <w:tcW w:type="dxa" w:w="1560"/>
          </w:tcPr>
          <w:p>
            <w:r/>
            <w:r>
              <w:rPr>
                <w:rFonts w:ascii="Times New Roman" w:hAnsi="Times New Roman"/>
                <w:sz w:val="17"/>
              </w:rPr>
              <w:t>37/75 (49%)</w:t>
            </w:r>
          </w:p>
        </w:tc>
        <w:tc>
          <w:tcPr>
            <w:tcW w:type="dxa" w:w="1560"/>
          </w:tcPr>
          <w:p>
            <w:r/>
            <w:r>
              <w:rPr>
                <w:rFonts w:ascii="Times New Roman" w:hAnsi="Times New Roman"/>
                <w:sz w:val="17"/>
              </w:rPr>
              <w:t>28/44 (64%)</w:t>
            </w:r>
          </w:p>
        </w:tc>
      </w:tr>
      <w:tr>
        <w:tc>
          <w:tcPr>
            <w:tcW w:type="dxa" w:w="1560"/>
          </w:tcPr>
          <w:p>
            <w:r/>
            <w:r>
              <w:rPr>
                <w:rFonts w:ascii="Times New Roman" w:hAnsi="Times New Roman"/>
                <w:sz w:val="17"/>
              </w:rPr>
              <w:t>Booked as pyloric ultrasound</w:t>
            </w:r>
          </w:p>
        </w:tc>
        <w:tc>
          <w:tcPr>
            <w:tcW w:type="dxa" w:w="1560"/>
          </w:tcPr>
          <w:p>
            <w:r/>
            <w:r>
              <w:rPr>
                <w:rFonts w:ascii="Times New Roman" w:hAnsi="Times New Roman"/>
                <w:sz w:val="17"/>
              </w:rPr>
              <w:t>12 (10.1)</w:t>
            </w:r>
          </w:p>
        </w:tc>
        <w:tc>
          <w:tcPr>
            <w:tcW w:type="dxa" w:w="1560"/>
          </w:tcPr>
          <w:p>
            <w:r/>
            <w:r>
              <w:rPr>
                <w:rFonts w:ascii="Times New Roman" w:hAnsi="Times New Roman"/>
                <w:sz w:val="17"/>
              </w:rPr>
              <w:t>4</w:t>
            </w:r>
          </w:p>
        </w:tc>
        <w:tc>
          <w:tcPr>
            <w:tcW w:type="dxa" w:w="1560"/>
          </w:tcPr>
          <w:p>
            <w:r/>
            <w:r>
              <w:rPr>
                <w:rFonts w:ascii="Times New Roman" w:hAnsi="Times New Roman"/>
                <w:sz w:val="17"/>
              </w:rPr>
              <w:t>8</w:t>
            </w:r>
          </w:p>
        </w:tc>
        <w:tc>
          <w:tcPr>
            <w:tcW w:type="dxa" w:w="1560"/>
          </w:tcPr>
          <w:p>
            <w:r/>
            <w:r>
              <w:rPr>
                <w:rFonts w:ascii="Times New Roman" w:hAnsi="Times New Roman"/>
                <w:sz w:val="17"/>
              </w:rPr>
              <w:t>8/12 (67%)</w:t>
            </w:r>
          </w:p>
        </w:tc>
        <w:tc>
          <w:tcPr>
            <w:tcW w:type="dxa" w:w="1560"/>
          </w:tcPr>
          <w:p>
            <w:r/>
            <w:r>
              <w:rPr>
                <w:rFonts w:ascii="Times New Roman" w:hAnsi="Times New Roman"/>
                <w:sz w:val="17"/>
              </w:rPr>
              <w:t>57/107 (53%)</w:t>
            </w:r>
          </w:p>
        </w:tc>
      </w:tr>
      <w:tr>
        <w:tc>
          <w:tcPr>
            <w:tcW w:type="dxa" w:w="1560"/>
          </w:tcPr>
          <w:p>
            <w:r/>
            <w:r>
              <w:rPr>
                <w:rFonts w:ascii="Times New Roman" w:hAnsi="Times New Roman"/>
                <w:sz w:val="17"/>
              </w:rPr>
              <w:t>Performed at the bedside</w:t>
            </w:r>
          </w:p>
        </w:tc>
        <w:tc>
          <w:tcPr>
            <w:tcW w:type="dxa" w:w="1560"/>
          </w:tcPr>
          <w:p>
            <w:r/>
            <w:r>
              <w:rPr>
                <w:rFonts w:ascii="Times New Roman" w:hAnsi="Times New Roman"/>
                <w:sz w:val="17"/>
              </w:rPr>
              <w:t>9 (7.6)</w:t>
            </w:r>
          </w:p>
        </w:tc>
        <w:tc>
          <w:tcPr>
            <w:tcW w:type="dxa" w:w="1560"/>
          </w:tcPr>
          <w:p>
            <w:r/>
            <w:r>
              <w:rPr>
                <w:rFonts w:ascii="Times New Roman" w:hAnsi="Times New Roman"/>
                <w:sz w:val="17"/>
              </w:rPr>
              <w:t>0</w:t>
            </w:r>
          </w:p>
        </w:tc>
        <w:tc>
          <w:tcPr>
            <w:tcW w:type="dxa" w:w="1560"/>
          </w:tcPr>
          <w:p>
            <w:r/>
            <w:r>
              <w:rPr>
                <w:rFonts w:ascii="Times New Roman" w:hAnsi="Times New Roman"/>
                <w:sz w:val="17"/>
              </w:rPr>
              <w:t>9</w:t>
            </w:r>
          </w:p>
        </w:tc>
        <w:tc>
          <w:tcPr>
            <w:tcW w:type="dxa" w:w="1560"/>
          </w:tcPr>
          <w:p>
            <w:r/>
            <w:r>
              <w:rPr>
                <w:rFonts w:ascii="Times New Roman" w:hAnsi="Times New Roman"/>
                <w:sz w:val="17"/>
              </w:rPr>
              <w:t>2/9</w:t>
            </w:r>
          </w:p>
        </w:tc>
        <w:tc>
          <w:tcPr>
            <w:tcW w:type="dxa" w:w="1560"/>
          </w:tcPr>
          <w:p>
            <w:r/>
            <w:r>
              <w:rPr>
                <w:rFonts w:ascii="Times New Roman" w:hAnsi="Times New Roman"/>
                <w:sz w:val="17"/>
              </w:rPr>
              <w:t>63/110 (57%)</w:t>
            </w:r>
          </w:p>
        </w:tc>
      </w:tr>
    </w:tbl>
    <w:p>
      <w:pPr>
        <w:spacing w:after="160"/>
      </w:pPr>
      <w:r>
        <w:rPr>
          <w:i/>
          <w:sz w:val="17"/>
        </w:rPr>
        <w:t>The index unit is the examination episode closest to operation, pooling all reports of that modality issued that day. Content was coded from the findings and conclusion text by pre-specified patterns (Online Resource 1). This is an audit of what was recorded and is a lower bound on what was performed: an element assessed but not documented cannot be distinguished from one never assessed. Technique elements count as documented whether the finding was normal or abnormal; the whirlpool sign counts only where it is not negated, and agrees with the separately adjudicated whirlpool variable in 118 of 119 examinations. Enteric fluid administration counts only examinations stating that fluid was given (oral contrast or nasogastric instillation); observed luminal fluid without a stated route was not counted. Booking categories are not mutually exclusive: 28 sessions were booked as both a gastrointestinal and a great-vessel study. Denominators of fewer than 10 are shown without a percentage.</w:t>
      </w:r>
    </w:p>
    <w:p>
      <w:pPr>
        <w:jc w:val="center"/>
      </w:pPr>
      <w:r>
        <w:drawing>
          <wp:inline xmlns:a="http://schemas.openxmlformats.org/drawingml/2006/main" xmlns:pic="http://schemas.openxmlformats.org/drawingml/2006/picture">
            <wp:extent cx="6035040" cy="2307862"/>
            <wp:docPr id="3" name="Picture 3"/>
            <wp:cNvGraphicFramePr>
              <a:graphicFrameLocks noChangeAspect="1"/>
            </wp:cNvGraphicFramePr>
            <a:graphic>
              <a:graphicData uri="http://schemas.openxmlformats.org/drawingml/2006/picture">
                <pic:pic>
                  <pic:nvPicPr>
                    <pic:cNvPr id="0" name="Fig3_ultrasound_report_audit.png"/>
                    <pic:cNvPicPr/>
                  </pic:nvPicPr>
                  <pic:blipFill>
                    <a:blip r:embed="rId11"/>
                    <a:stretch>
                      <a:fillRect/>
                    </a:stretch>
                  </pic:blipFill>
                  <pic:spPr>
                    <a:xfrm>
                      <a:off x="0" y="0"/>
                      <a:ext cx="6035040" cy="2307862"/>
                    </a:xfrm>
                    <a:prstGeom prst="rect"/>
                  </pic:spPr>
                </pic:pic>
              </a:graphicData>
            </a:graphic>
          </wp:inline>
        </w:drawing>
      </w:r>
    </w:p>
    <w:p>
      <w:pPr>
        <w:pStyle w:val="Heading2"/>
      </w:pPr>
      <w:r>
        <w:t>Detection changed over time, tracking examination content</w:t>
      </w:r>
    </w:p>
    <w:p>
      <w:pPr>
        <w:spacing w:after="160"/>
      </w:pPr>
      <w:r>
        <w:t>Ultrasound detection was 41.0% (16/39) in 2012–2018 and 61.3% (49/80) in 2019–2026; CT 47.0% and 66.7%; UGI 77.1% and 82.3% (Table 4). For ultrasound the change tracked how the examination was booked: sessions including a great-vessel study rose from 33.3% to 67.5%, and adding that indicator halved the era effect, from +20.2 (95% CI +1.8 to +38.8) to +10.3 (−10.3 to +30.1) percentage points, while the indicator itself carried an odds ratio of 3.35 (1.51–7.44). Moving the era boundary from 2019 to 2022 left the examination-type odds ratio between 3.07 and 3.85 (all p≤0.007) while the era odds ratio swung from 2.82 to 1.25 (Online Resource 2). The era-by-booking interaction was not significant, so the effect of examination type did not itself change between eras. The booking shift tracked whirlpool reporting but not duodenal assessment. CT showed a comparable change only partly explained by contrast enhancement; the UGI series showed none (Table 4).</w:t>
      </w:r>
    </w:p>
    <w:p>
      <w:pPr>
        <w:spacing w:after="160"/>
      </w:pPr>
      <w:r>
        <w:rPr>
          <w:b/>
        </w:rPr>
        <w:t>Table 4. Change in report-level detection between eras, and the examination-content variables that account for it</w:t>
      </w:r>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
              <w:rPr>
                <w:rFonts w:ascii="Times New Roman" w:hAnsi="Times New Roman"/>
                <w:b/>
                <w:sz w:val="17"/>
              </w:rPr>
              <w:t>Modality</w:t>
            </w:r>
          </w:p>
        </w:tc>
        <w:tc>
          <w:tcPr>
            <w:tcW w:type="dxa" w:w="1337"/>
          </w:tcPr>
          <w:p>
            <w:r/>
            <w:r>
              <w:rPr>
                <w:rFonts w:ascii="Times New Roman" w:hAnsi="Times New Roman"/>
                <w:b/>
                <w:sz w:val="17"/>
              </w:rPr>
              <w:t>Detection 2012–2018</w:t>
            </w:r>
          </w:p>
        </w:tc>
        <w:tc>
          <w:tcPr>
            <w:tcW w:type="dxa" w:w="1337"/>
          </w:tcPr>
          <w:p>
            <w:r/>
            <w:r>
              <w:rPr>
                <w:rFonts w:ascii="Times New Roman" w:hAnsi="Times New Roman"/>
                <w:b/>
                <w:sz w:val="17"/>
              </w:rPr>
              <w:t>Detection 2019–2026</w:t>
            </w:r>
          </w:p>
        </w:tc>
        <w:tc>
          <w:tcPr>
            <w:tcW w:type="dxa" w:w="1337"/>
          </w:tcPr>
          <w:p>
            <w:r/>
            <w:r>
              <w:rPr>
                <w:rFonts w:ascii="Times New Roman" w:hAnsi="Times New Roman"/>
                <w:b/>
                <w:sz w:val="17"/>
              </w:rPr>
              <w:t>Era odds ratio (95% CI)</w:t>
            </w:r>
          </w:p>
        </w:tc>
        <w:tc>
          <w:tcPr>
            <w:tcW w:type="dxa" w:w="1337"/>
          </w:tcPr>
          <w:p>
            <w:r/>
            <w:r>
              <w:rPr>
                <w:rFonts w:ascii="Times New Roman" w:hAnsi="Times New Roman"/>
                <w:b/>
                <w:sz w:val="17"/>
              </w:rPr>
              <w:t>Era odds ratio after adjustment for examination content</w:t>
            </w:r>
          </w:p>
        </w:tc>
        <w:tc>
          <w:tcPr>
            <w:tcW w:type="dxa" w:w="1337"/>
          </w:tcPr>
          <w:p>
            <w:r/>
            <w:r>
              <w:rPr>
                <w:rFonts w:ascii="Times New Roman" w:hAnsi="Times New Roman"/>
                <w:b/>
                <w:sz w:val="17"/>
              </w:rPr>
              <w:t>Examination-content variable, odds ratio (95% CI)</w:t>
            </w:r>
          </w:p>
        </w:tc>
        <w:tc>
          <w:tcPr>
            <w:tcW w:type="dxa" w:w="1337"/>
          </w:tcPr>
          <w:p>
            <w:r/>
            <w:r>
              <w:rPr>
                <w:rFonts w:ascii="Times New Roman" w:hAnsi="Times New Roman"/>
                <w:b/>
                <w:sz w:val="17"/>
              </w:rPr>
              <w:t>Average marginal effect of later era, percentage points (crude → adjusted)</w:t>
            </w:r>
          </w:p>
        </w:tc>
      </w:tr>
      <w:tr>
        <w:tc>
          <w:tcPr>
            <w:tcW w:type="dxa" w:w="1337"/>
          </w:tcPr>
          <w:p>
            <w:r/>
            <w:r>
              <w:rPr>
                <w:rFonts w:ascii="Times New Roman" w:hAnsi="Times New Roman"/>
                <w:sz w:val="17"/>
              </w:rPr>
              <w:t>UGI contrast series</w:t>
            </w:r>
          </w:p>
        </w:tc>
        <w:tc>
          <w:tcPr>
            <w:tcW w:type="dxa" w:w="1337"/>
          </w:tcPr>
          <w:p>
            <w:r/>
            <w:r>
              <w:rPr>
                <w:rFonts w:ascii="Times New Roman" w:hAnsi="Times New Roman"/>
                <w:sz w:val="17"/>
              </w:rPr>
              <w:t>158/205 (77.1%)</w:t>
            </w:r>
          </w:p>
        </w:tc>
        <w:tc>
          <w:tcPr>
            <w:tcW w:type="dxa" w:w="1337"/>
          </w:tcPr>
          <w:p>
            <w:r/>
            <w:r>
              <w:rPr>
                <w:rFonts w:ascii="Times New Roman" w:hAnsi="Times New Roman"/>
                <w:sz w:val="17"/>
              </w:rPr>
              <w:t>79/96 (82.3%)</w:t>
            </w:r>
          </w:p>
        </w:tc>
        <w:tc>
          <w:tcPr>
            <w:tcW w:type="dxa" w:w="1337"/>
          </w:tcPr>
          <w:p>
            <w:r/>
            <w:r>
              <w:rPr>
                <w:rFonts w:ascii="Times New Roman" w:hAnsi="Times New Roman"/>
                <w:sz w:val="17"/>
              </w:rPr>
              <w:t>1.38 (0.75–2.56), p=0.304</w:t>
            </w:r>
          </w:p>
        </w:tc>
        <w:tc>
          <w:tcPr>
            <w:tcW w:type="dxa" w:w="1337"/>
          </w:tcPr>
          <w:p>
            <w:r/>
            <w:r>
              <w:rPr>
                <w:rFonts w:ascii="Times New Roman" w:hAnsi="Times New Roman"/>
                <w:sz w:val="17"/>
              </w:rPr>
              <w:t>Not applicable (technique unchanged)</w:t>
            </w:r>
          </w:p>
        </w:tc>
        <w:tc>
          <w:tcPr>
            <w:tcW w:type="dxa" w:w="1337"/>
          </w:tcPr>
          <w:p>
            <w:r/>
            <w:r>
              <w:rPr>
                <w:rFonts w:ascii="Times New Roman" w:hAnsi="Times New Roman"/>
                <w:sz w:val="17"/>
              </w:rPr>
              <w:t>–</w:t>
            </w:r>
          </w:p>
        </w:tc>
        <w:tc>
          <w:tcPr>
            <w:tcW w:type="dxa" w:w="1337"/>
          </w:tcPr>
          <w:p>
            <w:r/>
            <w:r>
              <w:rPr>
                <w:rFonts w:ascii="Times New Roman" w:hAnsi="Times New Roman"/>
                <w:sz w:val="17"/>
              </w:rPr>
              <w:t>+5.2</w:t>
            </w:r>
          </w:p>
        </w:tc>
      </w:tr>
      <w:tr>
        <w:tc>
          <w:tcPr>
            <w:tcW w:type="dxa" w:w="1337"/>
          </w:tcPr>
          <w:p>
            <w:r/>
            <w:r>
              <w:rPr>
                <w:rFonts w:ascii="Times New Roman" w:hAnsi="Times New Roman"/>
                <w:sz w:val="17"/>
              </w:rPr>
              <w:t>Abdominal CT</w:t>
            </w:r>
          </w:p>
        </w:tc>
        <w:tc>
          <w:tcPr>
            <w:tcW w:type="dxa" w:w="1337"/>
          </w:tcPr>
          <w:p>
            <w:r/>
            <w:r>
              <w:rPr>
                <w:rFonts w:ascii="Times New Roman" w:hAnsi="Times New Roman"/>
                <w:sz w:val="17"/>
              </w:rPr>
              <w:t>101/215 (47.0%)</w:t>
            </w:r>
          </w:p>
        </w:tc>
        <w:tc>
          <w:tcPr>
            <w:tcW w:type="dxa" w:w="1337"/>
          </w:tcPr>
          <w:p>
            <w:r/>
            <w:r>
              <w:rPr>
                <w:rFonts w:ascii="Times New Roman" w:hAnsi="Times New Roman"/>
                <w:sz w:val="17"/>
              </w:rPr>
              <w:t>70/105 (66.7%)</w:t>
            </w:r>
          </w:p>
        </w:tc>
        <w:tc>
          <w:tcPr>
            <w:tcW w:type="dxa" w:w="1337"/>
          </w:tcPr>
          <w:p>
            <w:r/>
            <w:r>
              <w:rPr>
                <w:rFonts w:ascii="Times New Roman" w:hAnsi="Times New Roman"/>
                <w:sz w:val="17"/>
              </w:rPr>
              <w:t>2.26 (1.39–3.67), p=0.001</w:t>
            </w:r>
          </w:p>
        </w:tc>
        <w:tc>
          <w:tcPr>
            <w:tcW w:type="dxa" w:w="1337"/>
          </w:tcPr>
          <w:p>
            <w:r/>
            <w:r>
              <w:rPr>
                <w:rFonts w:ascii="Times New Roman" w:hAnsi="Times New Roman"/>
                <w:sz w:val="17"/>
              </w:rPr>
              <w:t>1.98 (1.20–3.28), p=0.008</w:t>
            </w:r>
          </w:p>
        </w:tc>
        <w:tc>
          <w:tcPr>
            <w:tcW w:type="dxa" w:w="1337"/>
          </w:tcPr>
          <w:p>
            <w:r/>
            <w:r>
              <w:rPr>
                <w:rFonts w:ascii="Times New Roman" w:hAnsi="Times New Roman"/>
                <w:sz w:val="17"/>
              </w:rPr>
              <w:t>Intravenous contrast enhancement 5.53 (2.49–12.27), p&lt;0.001</w:t>
            </w:r>
          </w:p>
        </w:tc>
        <w:tc>
          <w:tcPr>
            <w:tcW w:type="dxa" w:w="1337"/>
          </w:tcPr>
          <w:p>
            <w:r/>
            <w:r>
              <w:rPr>
                <w:rFonts w:ascii="Times New Roman" w:hAnsi="Times New Roman"/>
                <w:sz w:val="17"/>
              </w:rPr>
              <w:t>+19.7 → +15.6</w:t>
            </w:r>
          </w:p>
        </w:tc>
      </w:tr>
      <w:tr>
        <w:tc>
          <w:tcPr>
            <w:tcW w:type="dxa" w:w="1337"/>
          </w:tcPr>
          <w:p>
            <w:r/>
            <w:r>
              <w:rPr>
                <w:rFonts w:ascii="Times New Roman" w:hAnsi="Times New Roman"/>
                <w:sz w:val="17"/>
              </w:rPr>
              <w:t>Gastrointestinal ultrasound</w:t>
            </w:r>
          </w:p>
        </w:tc>
        <w:tc>
          <w:tcPr>
            <w:tcW w:type="dxa" w:w="1337"/>
          </w:tcPr>
          <w:p>
            <w:r/>
            <w:r>
              <w:rPr>
                <w:rFonts w:ascii="Times New Roman" w:hAnsi="Times New Roman"/>
                <w:sz w:val="17"/>
              </w:rPr>
              <w:t>16/39 (41.0%)</w:t>
            </w:r>
          </w:p>
        </w:tc>
        <w:tc>
          <w:tcPr>
            <w:tcW w:type="dxa" w:w="1337"/>
          </w:tcPr>
          <w:p>
            <w:r/>
            <w:r>
              <w:rPr>
                <w:rFonts w:ascii="Times New Roman" w:hAnsi="Times New Roman"/>
                <w:sz w:val="17"/>
              </w:rPr>
              <w:t>49/80 (61.3%)</w:t>
            </w:r>
          </w:p>
        </w:tc>
        <w:tc>
          <w:tcPr>
            <w:tcW w:type="dxa" w:w="1337"/>
          </w:tcPr>
          <w:p>
            <w:r/>
            <w:r>
              <w:rPr>
                <w:rFonts w:ascii="Times New Roman" w:hAnsi="Times New Roman"/>
                <w:sz w:val="17"/>
              </w:rPr>
              <w:t>2.27 (1.04–4.96), p=0.039</w:t>
            </w:r>
          </w:p>
        </w:tc>
        <w:tc>
          <w:tcPr>
            <w:tcW w:type="dxa" w:w="1337"/>
          </w:tcPr>
          <w:p>
            <w:r/>
            <w:r>
              <w:rPr>
                <w:rFonts w:ascii="Times New Roman" w:hAnsi="Times New Roman"/>
                <w:sz w:val="17"/>
              </w:rPr>
              <w:t>1.57 (0.68–3.66), p=0.292</w:t>
            </w:r>
          </w:p>
        </w:tc>
        <w:tc>
          <w:tcPr>
            <w:tcW w:type="dxa" w:w="1337"/>
          </w:tcPr>
          <w:p>
            <w:r/>
            <w:r>
              <w:rPr>
                <w:rFonts w:ascii="Times New Roman" w:hAnsi="Times New Roman"/>
                <w:sz w:val="17"/>
              </w:rPr>
              <w:t>Session included a great-vessel study 3.35 (1.51–7.44), p=0.003</w:t>
            </w:r>
          </w:p>
        </w:tc>
        <w:tc>
          <w:tcPr>
            <w:tcW w:type="dxa" w:w="1337"/>
          </w:tcPr>
          <w:p>
            <w:r/>
            <w:r>
              <w:rPr>
                <w:rFonts w:ascii="Times New Roman" w:hAnsi="Times New Roman"/>
                <w:sz w:val="17"/>
              </w:rPr>
              <w:t>+20.2 → +10.3</w:t>
            </w:r>
          </w:p>
        </w:tc>
      </w:tr>
    </w:tbl>
    <w:p>
      <w:pPr>
        <w:spacing w:after="160"/>
      </w:pPr>
      <w:r>
        <w:rPr>
          <w:i/>
          <w:sz w:val="17"/>
        </w:rPr>
        <w:t>Modality-specific logistic models. For ultrasound the content variable is whether the examination session included an abdominal great-vessel study; this is an ordering and reporting label, not a record of technique. For CT the variable is intravenous contrast enhancement. Odds ratios and average marginal effects are both shown because a conditional odds ratio attenuates when a predictive covariate is added even in the absence of mediation (non-collapsibility), so the marginal effect is the more interpretable measure of how much of the era difference the content variable accounts for. The content variables were not randomised and are themselves confounded by indication: a child suspected of volvulus is both more likely to be booked for a great-vessel study and more likely to have a whirlpool to find. These models are explanatory, not causal. Sensitivity analyses moving the era boundary from 2019 to 2022 are in Online Resource 2.</w:t>
      </w:r>
    </w:p>
    <w:p>
      <w:pPr>
        <w:pStyle w:val="Heading2"/>
      </w:pPr>
      <w:r>
        <w:t>The selected subgroup, and populations this cohort omits</w:t>
      </w:r>
    </w:p>
    <w:p>
      <w:pPr>
        <w:spacing w:after="160"/>
      </w:pPr>
      <w:r>
        <w:t>Fifty-nine children underwent all three modalities — not a random sample but a subgroup in whom the diagnosis had remained uncertain, more severely affected than the other 351 imaged children (96.6% vs 86.6% volvulus; 83.1% vs 65.5% neonates). The UGI series was positive in 76.3%, ultrasound in 52.5% and CT in 47.5% (Cochran's Q p=0.001; UGI exceeded CT by 28.8 percentage points, 95% CI +13.6 to +44.1, and ultrasound by 23.7, +8.5 to +39.0, while CT and ultrasound did not differ), unchanged within 48 h or 24 h (Online Resource 2) — reporting within one selected subgroup, not accuracy. Only 6 of the 62 children with malrotation but no volvulus underwent ultrasound, so the cohort says little about the children the ultrasound-first debate concerns.</w:t>
      </w:r>
    </w:p>
    <w:p>
      <w:pPr>
        <w:pStyle w:val="Heading1"/>
      </w:pPr>
      <w:r>
        <w:t>Discussion</w:t>
      </w:r>
    </w:p>
    <w:p>
      <w:pPr>
        <w:spacing w:after="160"/>
      </w:pPr>
      <w:r>
        <w:t>In 13.5 years of routine practice, ultrasound reports for children who proved to have intestinal malrotation almost never recorded the duodenal anatomy on which contemporary ultrasound accuracy depends: D3 or the duodenojejunal junction in three of 119 examinations, the mesenteric vessels in 12, enteric fluid in two. What they did contain was the whirlpool sign — in about half of all examinations, and in only about half of the children whose operation confirmed volvulus. Ultrasound here functioned as a test for midgut volvulus, and an imperfect one.</w:t>
      </w:r>
    </w:p>
    <w:p>
      <w:pPr>
        <w:spacing w:after="160"/>
      </w:pPr>
      <w:r>
        <w:t>This frames the most-cited number in our data. Ultrasound named malrotation in 54.6% of the surgically confirmed children who underwent it, against sensitivities of 93–97% in children investigated for suspicion [8, 9, 12, 19]. The two are not interchangeable — ours is conditioned on confirmed disease and on whatever indications selected these children, so the difference mixes case-mix with technique — but the audit shows the technique component to be real. The published figures came from examinations that assessed D3, the most accurate single sign in the 2025 multicentre series [12], and the duodenojejunal junction, often with enteric fluid, by readers alert to the diagnosis [18, 20, 21]; ours did not. The 2021 systematic review anticipated this, finding better performance where the mesenteric vessels and enteric fluid were used [8].</w:t>
      </w:r>
    </w:p>
    <w:p>
      <w:pPr>
        <w:spacing w:after="160"/>
      </w:pPr>
      <w:r>
        <w:t>The temporal analysis points the same way without settling it. Detection improved from 41% to 61%, but the improvement tracked what the examination was: adding the great-vessel indicator halved the era effect on the risk-difference scale, whereas the examination-type effect was stable wherever the era boundary fell. Two cautions apply. The booking category was not randomised — a child suspected of volvulus is both more likely to be booked for a vessel study and more likely to have a whirlpool to find, so indication and technique cannot be separated; and the adjusted marginal effect has a wide interval including zero, so the analysis bounds the era contribution rather than removing it. The department's account is consistent: no equipment, staffing or protocol change, and growing awareness from about 2021 — attached to the whirlpool sign rather than duodenal anatomy, so even the improvement ran toward detecting volvulus.</w:t>
      </w:r>
    </w:p>
    <w:p>
      <w:pPr>
        <w:spacing w:after="160"/>
      </w:pPr>
      <w:r>
        <w:t>Three features of the design make the between-modality differences uninterpretable as accuracy. The reference standard is not independent of the index tests: the surgeon knew the preoperative imaging, and a positive UGI series often precipitated the operation that confirmed it — an incorporation bias asymmetrical between tests. Pathway position differed, the UGI series being last before operation in 75% of children who received it. And the modalities were used in different children for different reasons (Table 1), which no adjustment can undo.</w:t>
      </w:r>
    </w:p>
    <w:p>
      <w:pPr>
        <w:spacing w:after="160"/>
      </w:pPr>
      <w:r>
        <w:t>Departments adopting an ultrasound-first pathway on the strength of 93–97% sensitivities should first establish that their own examinations resemble those that produced them. Awareness alone moved detection from 41% to 61% here but left the duodenal landmarks all but unexamined; a structured report requiring explicit statements about D3, the duodenojejunal junction, the vessel relationship and study adequacy would make the gap auditable. Where such an examination cannot be delivered, a negative ultrasound should not exclude malrotation.</w:t>
      </w:r>
    </w:p>
    <w:p>
      <w:pPr>
        <w:pStyle w:val="Heading2"/>
      </w:pPr>
      <w:r>
        <w:t>Limitations</w:t>
      </w:r>
    </w:p>
    <w:p>
      <w:pPr>
        <w:spacing w:after="160"/>
      </w:pPr>
      <w:r>
        <w:t>This is not a diagnostic accuracy study: detection among surgically confirmed children who received a test does not transfer to children investigated for suspicion, in whom contemporary studies report far higher ultrasound performance [8, 12, 19]. The cohort contains only children who reached an operation, is skewed toward severe neonatal disease, and says little about older children with intermittent symptoms, incidental or non-volvulus malrotation, or stable outpatients. The 55 without an index test were excluded from the denominators, an informative missingness of unknown direction. The volvulus definition accepted any documented degree of rotation; restricting it to 360° or more moves prevalence from 86.7% to 82.6% without changing a conclusion (Online Resource 2).</w:t>
      </w:r>
    </w:p>
    <w:p>
      <w:pPr>
        <w:spacing w:after="160"/>
      </w:pPr>
      <w:r>
        <w:t>Index tests were classified from report text rather than blinded image review, so this study measures reported detection, not achievable image-based accuracy: a finding seen but not written, and an inadequate examination reported as normal, are indistinguishable here — the boundary of the question rather than a defect in answering it, since the report is what the clinician acts on. The certainty tiers came from the same text and, unlike the positive–negative label, were not separately adjudicated. Radiation dose could not be captured, and whether this centre's deficit generalises is unknown.</w:t>
      </w:r>
    </w:p>
    <w:p>
      <w:pPr>
        <w:pStyle w:val="Heading1"/>
      </w:pPr>
      <w:r>
        <w:t>Conclusion</w:t>
      </w:r>
    </w:p>
    <w:p>
      <w:pPr>
        <w:spacing w:after="160"/>
      </w:pPr>
      <w:r>
        <w:t>Routine ultrasound reports for children with surgically confirmed intestinal malrotation documented the duodenal landmarks underpinning contemporary ultrasound accuracy in under 3% of examinations, and named the diagnosis almost only when a whirlpool sign was reported — which happened in about half of the children whose operation confirmed volvulus. Ultrasound here was, in practice, a test for midgut volvulus rather than for malrotation. These rates establish no specificity, predictive value or ranking, and are no argument against ultrasound-first pathways; they argue that a department's own technique and reporting content decide whether published performance is achievable locally — measurable, and correctable, by audit.</w:t>
      </w:r>
    </w:p>
    <w:p>
      <w:pPr>
        <w:pStyle w:val="Heading1"/>
      </w:pPr>
      <w:r>
        <w:t>Abbreviations</w:t>
      </w:r>
    </w:p>
    <w:p>
      <w:pPr>
        <w:spacing w:after="160"/>
      </w:pPr>
      <w:r>
        <w:t>CI: Confidence interval; D3: Third portion of the duodenum; GEE: Generalised estimating equation; IQR: Interquartile range; OR: Odds ratio; STARD: Standards for Reporting of Diagnostic Accuracy Studies; STROBE: Strengthening the Reporting of Observational Studies in Epidemiology; UGI: Upper gastrointestinal</w:t>
      </w:r>
    </w:p>
    <w:p>
      <w:pPr>
        <w:pStyle w:val="Heading1"/>
      </w:pPr>
      <w:r>
        <w:t>Supplementary Information</w:t>
      </w:r>
    </w:p>
    <w:p>
      <w:pPr>
        <w:spacing w:after="160"/>
      </w:pPr>
      <w:r>
        <w:rPr>
          <w:b/>
        </w:rPr>
        <w:t>Online Resource 1.</w:t>
      </w:r>
      <w:r>
        <w:t xml:space="preserve"> Text-classification algorithm and report-content audit: full rule dictionary, negation and scope handling, priority rules, worked examples of misclassification, the per-modality distribution of positive, negative and tentative labels, and a runnable reference implementation of the rule set (`Online_Resource_1_classifier.py`), which reproduces 97.7% of the final labels. That figure measures agreement between the published code and the labels used here; the 92% above measures agreement between the algorithm and the blinded adjudicator.</w:t>
      </w:r>
    </w:p>
    <w:p>
      <w:pPr>
        <w:spacing w:after="160"/>
      </w:pPr>
      <w:r>
        <w:rPr>
          <w:b/>
        </w:rPr>
        <w:t>Online Resource 2.</w:t>
      </w:r>
      <w:r>
        <w:t xml:space="preserve"> Between-modality generalised estimating equation models; the subgroup receiving all three examinations, with 48-h and 24-h timing sensitivity analyses; detection stratified by midgut volvulus and by age; detection of a volvulus-specific sign among children with confirmed volvulus; and sensitivity analyses varying the era boundary from 2019 to 2022, restricting midgut volvulus to a documented rotation of 360° or more, and taking the earliest rather than the closest preoperative examination as the index unit.</w:t>
      </w:r>
    </w:p>
    <w:p>
      <w:pPr>
        <w:spacing w:after="160"/>
      </w:pPr>
      <w:r>
        <w:rPr>
          <w:b/>
        </w:rPr>
        <w:t>Online Resource 3.</w:t>
      </w:r>
      <w:r>
        <w:t xml:space="preserve"> Content audit of the 320 CT and 301 upper gastrointestinal series index examinations, with detection conditional on documented content.</w:t>
      </w:r>
    </w:p>
    <w:p>
      <w:pPr>
        <w:pStyle w:val="Heading1"/>
      </w:pPr>
      <w:r>
        <w:t>Declarations</w:t>
      </w:r>
    </w:p>
    <w:p>
      <w:pPr>
        <w:spacing w:after="160"/>
      </w:pPr>
      <w:r>
        <w:rPr>
          <w:b/>
        </w:rPr>
        <w:t>Acknowledgements:</w:t>
      </w:r>
      <w:r>
        <w:t xml:space="preserve"> Provided on the separate title page.</w:t>
      </w:r>
    </w:p>
    <w:p>
      <w:pPr>
        <w:spacing w:after="160"/>
      </w:pPr>
      <w:r>
        <w:rPr>
          <w:b/>
        </w:rPr>
        <w:t>Funding:</w:t>
      </w:r>
      <w:r>
        <w:t xml:space="preserve"> Provided on the separate title page.</w:t>
      </w:r>
    </w:p>
    <w:p>
      <w:pPr>
        <w:spacing w:after="160"/>
      </w:pPr>
      <w:r>
        <w:rPr>
          <w:b/>
        </w:rPr>
        <w:t>Competing interests:</w:t>
      </w:r>
      <w:r>
        <w:t xml:space="preserve"> The authors declare that they have no competing interests.</w:t>
      </w:r>
    </w:p>
    <w:p>
      <w:pPr>
        <w:spacing w:after="160"/>
      </w:pPr>
      <w:r>
        <w:rPr>
          <w:b/>
        </w:rPr>
        <w:t>Ethics approval and consent to participate:</w:t>
      </w:r>
      <w:r>
        <w:t xml:space="preserve"> This study was approved by the institutional review board of the participating institution (approval number provided on the title page), and the requirement for informed consent was waived because of the retrospective, de-identified design. All procedures were in accordance with the 1964 Declaration of Helsinki and its later amendments.</w:t>
      </w:r>
    </w:p>
    <w:p>
      <w:pPr>
        <w:spacing w:after="160"/>
      </w:pPr>
      <w:r>
        <w:rPr>
          <w:b/>
        </w:rPr>
        <w:t>Consent for publication:</w:t>
      </w:r>
      <w:r>
        <w:t xml:space="preserve"> Not applicable. This manuscript does not contain any individual person's data, images, or other identifiable material.</w:t>
      </w:r>
    </w:p>
    <w:p>
      <w:pPr>
        <w:spacing w:after="160"/>
      </w:pPr>
      <w:r>
        <w:rPr>
          <w:b/>
        </w:rPr>
        <w:t>Availability of data and materials:</w:t>
      </w:r>
      <w:r>
        <w:t xml:space="preserve"> The de-identified analysis dataset used pseudonymised research identifiers rather than direct identifiers; it is nonetheless not publicly available because of institutional and ethical restrictions on sharing patient-level clinical data and the potential for re-identification within this small, single-centre disease cohort. The complete text-classification rule set, a runnable reference implementation of it, and the report-content audit patterns are provided in Online Resource 1. The scripts implementing every model, table and figure are available from the corresponding author on request. De-identified data may be made available by the corresponding author upon reasonable request and with permission of the institutional review board.</w:t>
      </w:r>
    </w:p>
    <w:p>
      <w:pPr>
        <w:spacing w:after="160"/>
      </w:pPr>
      <w:r>
        <w:rPr>
          <w:b/>
        </w:rPr>
        <w:t>Authors' contributions:</w:t>
      </w:r>
      <w:r>
        <w:t xml:space="preserve"> Provided on the separate title page.</w:t>
      </w:r>
    </w:p>
    <w:p>
      <w:pPr>
        <w:pStyle w:val="Heading1"/>
      </w:pPr>
      <w:r>
        <w:t>References</w:t>
      </w:r>
    </w:p>
    <w:p>
      <w:pPr>
        <w:spacing w:after="60"/>
      </w:pPr>
      <w:r>
        <w:rPr>
          <w:sz w:val="20"/>
        </w:rPr>
        <w:t>1. Marine MB, Karmazyn B (2014) Imaging of malrotation in the neonate. Semin Ultrasound CT MR 35:555–570 https://doi.org/10.1053/j.sult.2014.08.004</w:t>
      </w:r>
    </w:p>
    <w:p>
      <w:pPr>
        <w:spacing w:after="60"/>
      </w:pPr>
      <w:r>
        <w:rPr>
          <w:sz w:val="20"/>
        </w:rPr>
        <w:t>2. Martinez SA, Fligor SC, Tsikis S, et al (2023) IMPOWER: a national patient-generated registry for intestinal malrotation exploring diagnosis, treatment, and surgical outcomes. Orphanet J Rare Dis 18:113 https://doi.org/10.1186/s13023-023-02722-5</w:t>
      </w:r>
    </w:p>
    <w:p>
      <w:pPr>
        <w:spacing w:after="60"/>
      </w:pPr>
      <w:r>
        <w:rPr>
          <w:sz w:val="20"/>
        </w:rPr>
        <w:t>3. Yang X, Wang W, Wang K, et al (2024) Identification and treatment of intestinal malrotation with midgut volvulus in childhood: a multicenter retrospective study. Front Pediatr 12:1390856 https://doi.org/10.3389/fped.2024.1390856</w:t>
      </w:r>
    </w:p>
    <w:p>
      <w:pPr>
        <w:spacing w:after="60"/>
      </w:pPr>
      <w:r>
        <w:rPr>
          <w:sz w:val="20"/>
        </w:rPr>
        <w:t>4. Menghwani H, Piplani R, Yhoshu E, et al (2023) Delayed presentation of malrotation: case series and literature review. J Indian Assoc Pediatr Surg 28:271–277 https://doi.org/10.4103/jiaps.jiaps_2_23</w:t>
      </w:r>
    </w:p>
    <w:p>
      <w:pPr>
        <w:spacing w:after="60"/>
      </w:pPr>
      <w:r>
        <w:rPr>
          <w:sz w:val="20"/>
        </w:rPr>
        <w:t>5. Mattioli G, Gallo E, Wong MCY, et al (2024) Diagnostic accuracy of upper gastrointestinal series in children with suspected intestinal malrotation. Updates Surg 76:201–208 https://doi.org/10.1007/s13304-023-01559-8</w:t>
      </w:r>
    </w:p>
    <w:p>
      <w:pPr>
        <w:spacing w:after="60"/>
      </w:pPr>
      <w:r>
        <w:rPr>
          <w:sz w:val="20"/>
        </w:rPr>
        <w:t>6. Sizemore AW, Rabbani KZ, Ladd A, Applegate KE (2008) Diagnostic performance of the upper gastrointestinal series in the evaluation of children with clinically suspected malrotation. Pediatr Radiol 38:518–528 https://doi.org/10.1007/s00247-008-0762-8</w:t>
      </w:r>
    </w:p>
    <w:p>
      <w:pPr>
        <w:spacing w:after="60"/>
      </w:pPr>
      <w:r>
        <w:rPr>
          <w:sz w:val="20"/>
        </w:rPr>
        <w:t>7. Shimanuki Y, Aihara T, Takano H, et al (1996) Clockwise whirlpool sign at color Doppler US: an objective and definite sign of midgut volvulus. Radiology 199:261–264 https://doi.org/10.1148/radiology.199.1.8633156</w:t>
      </w:r>
    </w:p>
    <w:p>
      <w:pPr>
        <w:spacing w:after="60"/>
      </w:pPr>
      <w:r>
        <w:rPr>
          <w:sz w:val="20"/>
        </w:rPr>
        <w:t>8. Nguyen HN, Kulkarni M, Jose J, et al (2021) Ultrasound for the diagnosis of malrotation and volvulus in children and adolescents: a systematic review and meta-analysis. Arch Dis Child 106:1171–1178 https://doi.org/10.1136/archdischild-2020-321082</w:t>
      </w:r>
    </w:p>
    <w:p>
      <w:pPr>
        <w:spacing w:after="60"/>
      </w:pPr>
      <w:r>
        <w:rPr>
          <w:sz w:val="20"/>
        </w:rPr>
        <w:t>9. Nguyen HN, Navarro OM, Bloom DA, et al (2022) Ultrasound for midgut malrotation and midgut volvulus: AJR expert panel narrative review. AJR Am J Roentgenol 218:931–939 https://doi.org/10.2214/AJR.21.27242</w:t>
      </w:r>
    </w:p>
    <w:p>
      <w:pPr>
        <w:spacing w:after="60"/>
      </w:pPr>
      <w:r>
        <w:rPr>
          <w:sz w:val="20"/>
        </w:rPr>
        <w:t>10. Taylor GA (2011) CT appearance of the duodenum and mesenteric vessels in children with normal and abnormal bowel rotation. Pediatr Radiol 41:1378–1383 https://doi.org/10.1007/s00247-011-2118-z</w:t>
      </w:r>
    </w:p>
    <w:p>
      <w:pPr>
        <w:spacing w:after="60"/>
      </w:pPr>
      <w:r>
        <w:rPr>
          <w:sz w:val="20"/>
        </w:rPr>
        <w:t>11. Sodhi KS, Bhatia A, Saxena AK, et al (2014) Anticlockwise swirl of mesenteric vessels: a normal CT appearance, retrospective analysis of 200 pediatric patients. Eur J Radiol 83:710–714 https://doi.org/10.1016/j.ejrad.2013.12.026</w:t>
      </w:r>
    </w:p>
    <w:p>
      <w:pPr>
        <w:spacing w:after="60"/>
      </w:pPr>
      <w:r>
        <w:rPr>
          <w:sz w:val="20"/>
        </w:rPr>
        <w:t>12. Nguyen HN, El-Ali AM, Van Tassel D, et al (2025) Diagnostic performance of ultrasound for diagnosing midgut malrotation and volvulus in children: a multiinstitutional retrospective review. AJR Am J Roentgenol 225:e2532660 https://doi.org/10.2214/AJR.25.32660</w:t>
      </w:r>
    </w:p>
    <w:p>
      <w:pPr>
        <w:spacing w:after="60"/>
      </w:pPr>
      <w:r>
        <w:rPr>
          <w:sz w:val="20"/>
        </w:rPr>
        <w:t>13. Applegate KE, Anderson JM, Klatte EC (2006) Intestinal malrotation in children: a problem-solving approach to the upper gastrointestinal series. Radiographics 26:1485–1500 https://doi.org/10.1148/rg.265055167</w:t>
      </w:r>
    </w:p>
    <w:p>
      <w:pPr>
        <w:spacing w:after="60"/>
      </w:pPr>
      <w:r>
        <w:rPr>
          <w:sz w:val="20"/>
        </w:rPr>
        <w:t>14. von Elm E, Altman DG, Egger M, et al (2007) The Strengthening the Reporting of Observational Studies in Epidemiology (STROBE) statement: guidelines for reporting observational studies. Ann Intern Med 147:573–577 https://doi.org/10.7326/0003-4819-147-8-200710160-00010</w:t>
      </w:r>
    </w:p>
    <w:p>
      <w:pPr>
        <w:spacing w:after="60"/>
      </w:pPr>
      <w:r>
        <w:rPr>
          <w:sz w:val="20"/>
        </w:rPr>
        <w:t>15. López-Úbeda P, Martín-Noguerol T, Juluru K, Luna A (2022) Natural language processing in radiology: update on clinical applications. J Am Coll Radiol 19:1271–1285 https://doi.org/10.1016/j.jacr.2022.06.016</w:t>
      </w:r>
    </w:p>
    <w:p>
      <w:pPr>
        <w:spacing w:after="60"/>
      </w:pPr>
      <w:r>
        <w:rPr>
          <w:sz w:val="20"/>
        </w:rPr>
        <w:t>16. Zeger SL, Liang KY (1986) Longitudinal data analysis for discrete and continuous outcomes. Biometrics 42:121–130 https://doi.org/10.2307/2531248</w:t>
      </w:r>
    </w:p>
    <w:p>
      <w:pPr>
        <w:spacing w:after="60"/>
      </w:pPr>
      <w:r>
        <w:rPr>
          <w:sz w:val="20"/>
        </w:rPr>
        <w:t>17. Smitthimedhin A, Suarez A, Webb RL, Otero HJ (2018) Mimics of malrotation on pediatric upper gastrointestinal series: a pictorial review. Abdom Radiol (NY) 43:2246–2254 https://doi.org/10.1007/s00261-018-1537-9</w:t>
      </w:r>
    </w:p>
    <w:p>
      <w:pPr>
        <w:spacing w:after="60"/>
      </w:pPr>
      <w:r>
        <w:rPr>
          <w:sz w:val="20"/>
        </w:rPr>
        <w:t>18. McCurdie FK, Meshaka R, Leung G, et al (2024) Ultrasound for infantile midgut malrotation: techniques, pearls, and pitfalls. Pediatr Radiol 54:2099–2111 https://doi.org/10.1007/s00247-024-06067-4</w:t>
      </w:r>
    </w:p>
    <w:p>
      <w:pPr>
        <w:spacing w:after="60"/>
      </w:pPr>
      <w:r>
        <w:rPr>
          <w:sz w:val="20"/>
        </w:rPr>
        <w:t>19. Binu V, Nicholson C, Cundy T, et al (2021) Ultrasound imaging as the first line of investigation to diagnose intestinal malrotation in children: safety and efficacy. J Pediatr Surg 56:2224–2228 https://doi.org/10.1016/j.jpedsurg.2021.04.009</w:t>
      </w:r>
    </w:p>
    <w:p>
      <w:pPr>
        <w:spacing w:after="60"/>
      </w:pPr>
      <w:r>
        <w:rPr>
          <w:sz w:val="20"/>
        </w:rPr>
        <w:t>20. Menten R, Reding R, Godding V, et al (2012) Sonographic assessment of the retroperitoneal position of the third portion of the duodenum: an indicator of normal intestinal rotation. Pediatr Radiol 42:941–945 https://doi.org/10.1007/s00247-012-2403-5</w:t>
      </w:r>
    </w:p>
    <w:p>
      <w:pPr>
        <w:spacing w:after="60"/>
      </w:pPr>
      <w:r>
        <w:rPr>
          <w:sz w:val="20"/>
        </w:rPr>
        <w:t>21. Hennessey I, John R, Gent R, Goh DW (2014) Utility of sonographic assessment of the position of the third part of the duodenum using water instillation in intestinal malrotation: a single-center retrospective audit. Pediatr Radiol 44:387–391 https://doi.org/10.1007/s00247-013-2839-2</w:t>
      </w:r>
    </w:p>
    <w:p>
      <w:pPr>
        <w:spacing w:after="60"/>
      </w:pPr>
      <w:r>
        <w:rPr>
          <w:sz w:val="20"/>
        </w:rPr>
        <w:t>22. Karmazyn B, Cohen MD (2015) Based on the position of the third portion of the duodenum at sonography, it is not possible to confidently diagnose malrotation. Pediatr Radiol 45:138–139 https://doi.org/10.1007/s00247-014-3068-z</w:t>
      </w:r>
    </w:p>
    <w:p>
      <w:pPr>
        <w:pStyle w:val="Heading1"/>
      </w:pPr>
      <w:r>
        <w:t>Figure legends</w:t>
      </w:r>
    </w:p>
    <w:p>
      <w:pPr>
        <w:spacing w:after="160"/>
      </w:pPr>
      <w:r>
        <w:rPr>
          <w:b/>
        </w:rPr>
        <w:t>Fig. 1 Study flow and the imaging received by children without an index test.</w:t>
      </w:r>
      <w:r>
        <w:t xml:space="preserve"> Retrieval of 559 operative records in 499 children, assembly of the surgically confirmed cohort, availability of each preoperative index test, and reduction of 812 eligible preoperative reports to 740 index examination episodes. Every one of the 55 children who received none of the three index examinations nonetheless had other preoperative imaging, five of them documented before transfer; the breakdown is shown at right.</w:t>
      </w:r>
    </w:p>
    <w:p>
      <w:pPr>
        <w:spacing w:after="160"/>
      </w:pPr>
      <w:r>
        <w:rPr>
          <w:b/>
        </w:rPr>
        <w:t>Fig. 2 Report-level detection by modality, each estimate with its own denominator.</w:t>
      </w:r>
      <w:r>
        <w:t xml:space="preserve"> Detection among children with a preoperative index examination (Wilson 95% confidence intervals). Each estimate is drawn from a different, indication-selected group of children, so the rates are not directly comparable between modalities and are not sensitivities for children investigated for suspected malrotation.</w:t>
      </w:r>
    </w:p>
    <w:p>
      <w:pPr>
        <w:spacing w:after="160"/>
      </w:pPr>
      <w:r>
        <w:rPr>
          <w:b/>
        </w:rPr>
        <w:t>Fig. 3 Ultrasound examination content and detection conditional on that content.</w:t>
      </w:r>
      <w:r>
        <w:t xml:space="preserve"> </w:t>
      </w:r>
      <w:r>
        <w:rPr>
          <w:b/>
        </w:rPr>
        <w:t>a</w:t>
      </w:r>
      <w:r>
        <w:t xml:space="preserve"> Documented content of the 119 ultrasound index examinations. </w:t>
      </w:r>
      <w:r>
        <w:rPr>
          <w:b/>
        </w:rPr>
        <w:t>b</w:t>
      </w:r>
      <w:r>
        <w:t xml:space="preserve"> Report-level detection conditional on that content. Three examinations documented the third portion of the duodenum or the duodenojejunal junction. Detection when a whirlpool sign was reported is partly definitional, the sign being one of the positivity criteria; the informative contrast is the 7 of 61 examinations that named the diagnosis without one.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